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1A13" w14:textId="77777777" w:rsidR="00C35093" w:rsidRPr="00F03D3F" w:rsidRDefault="00C35093" w:rsidP="00C35093">
      <w:pPr>
        <w:pStyle w:val="Coverpagetitle"/>
        <w:rPr>
          <w:sz w:val="48"/>
          <w:szCs w:val="48"/>
        </w:rPr>
      </w:pPr>
      <w:r w:rsidRPr="00F03D3F">
        <w:rPr>
          <w:sz w:val="48"/>
          <w:szCs w:val="48"/>
        </w:rPr>
        <w:t>Department of Energy and Public Works</w:t>
      </w:r>
    </w:p>
    <w:p w14:paraId="1682FA69" w14:textId="77777777" w:rsidR="00C35093" w:rsidRPr="00F03D3F" w:rsidRDefault="00C35093" w:rsidP="00C35093">
      <w:pPr>
        <w:pStyle w:val="Coverpagetitle"/>
        <w:rPr>
          <w:sz w:val="48"/>
          <w:szCs w:val="48"/>
        </w:rPr>
      </w:pPr>
      <w:r w:rsidRPr="00F03D3F">
        <w:rPr>
          <w:sz w:val="48"/>
          <w:szCs w:val="48"/>
        </w:rPr>
        <w:t>Disability Service Plan 2022-2025</w:t>
      </w:r>
    </w:p>
    <w:p w14:paraId="506960A1" w14:textId="10C6FF22" w:rsidR="0077109B" w:rsidRPr="00F03D3F" w:rsidRDefault="00C35093" w:rsidP="00C35093">
      <w:r w:rsidRPr="00F03D3F">
        <w:t>December 2022</w:t>
      </w:r>
    </w:p>
    <w:p w14:paraId="22F6F497" w14:textId="77777777" w:rsidR="00C35093" w:rsidRPr="00F03D3F" w:rsidRDefault="00C35093" w:rsidP="00C35093">
      <w:pPr>
        <w:pStyle w:val="Heading2"/>
        <w:numPr>
          <w:ilvl w:val="1"/>
          <w:numId w:val="0"/>
        </w:numPr>
        <w:spacing w:after="240"/>
        <w:ind w:left="578" w:hanging="578"/>
        <w:rPr>
          <w:b/>
          <w:bCs/>
          <w:sz w:val="28"/>
          <w:szCs w:val="28"/>
        </w:rPr>
      </w:pPr>
      <w:r w:rsidRPr="00F03D3F">
        <w:rPr>
          <w:b/>
          <w:bCs/>
          <w:sz w:val="28"/>
          <w:szCs w:val="28"/>
        </w:rPr>
        <w:t xml:space="preserve">A message from the Director-General </w:t>
      </w:r>
    </w:p>
    <w:p w14:paraId="77120DE8" w14:textId="77777777" w:rsidR="00C35093" w:rsidRPr="004C19C4" w:rsidRDefault="00C35093" w:rsidP="00C35093">
      <w:pPr>
        <w:spacing w:before="120" w:after="120" w:line="300" w:lineRule="auto"/>
        <w:ind w:right="25"/>
        <w:rPr>
          <w:spacing w:val="-2"/>
          <w:sz w:val="18"/>
          <w:szCs w:val="18"/>
        </w:rPr>
      </w:pPr>
      <w:r w:rsidRPr="004C19C4">
        <w:rPr>
          <w:spacing w:val="-2"/>
          <w:sz w:val="18"/>
          <w:szCs w:val="18"/>
        </w:rPr>
        <w:t xml:space="preserve">I’m pleased to present the Department of Energy and Public Works (EPW) </w:t>
      </w:r>
      <w:r w:rsidRPr="004C19C4">
        <w:rPr>
          <w:i/>
          <w:iCs/>
          <w:spacing w:val="-2"/>
          <w:sz w:val="18"/>
          <w:szCs w:val="18"/>
        </w:rPr>
        <w:t>Disability Service Plan 2022-2025</w:t>
      </w:r>
      <w:r w:rsidRPr="004C19C4">
        <w:rPr>
          <w:spacing w:val="-2"/>
          <w:sz w:val="18"/>
          <w:szCs w:val="18"/>
        </w:rPr>
        <w:t xml:space="preserve"> (DSP). </w:t>
      </w:r>
    </w:p>
    <w:p w14:paraId="0AAC814F" w14:textId="77777777" w:rsidR="00C35093" w:rsidRPr="004C19C4" w:rsidRDefault="00C35093" w:rsidP="00C35093">
      <w:pPr>
        <w:spacing w:before="120" w:after="120" w:line="300" w:lineRule="auto"/>
        <w:ind w:right="25"/>
        <w:rPr>
          <w:spacing w:val="-2"/>
          <w:sz w:val="18"/>
          <w:szCs w:val="18"/>
        </w:rPr>
      </w:pPr>
      <w:r w:rsidRPr="004C19C4">
        <w:rPr>
          <w:spacing w:val="-2"/>
          <w:sz w:val="18"/>
          <w:szCs w:val="18"/>
        </w:rPr>
        <w:t xml:space="preserve">Our department’s vision is: </w:t>
      </w:r>
      <w:r w:rsidRPr="004C19C4">
        <w:rPr>
          <w:b/>
          <w:bCs/>
          <w:spacing w:val="-2"/>
          <w:sz w:val="18"/>
          <w:szCs w:val="18"/>
        </w:rPr>
        <w:t>Generating and building a sustainable future for all Queenslanders</w:t>
      </w:r>
      <w:r w:rsidRPr="004C19C4">
        <w:rPr>
          <w:spacing w:val="-2"/>
          <w:sz w:val="18"/>
          <w:szCs w:val="18"/>
        </w:rPr>
        <w:t>.</w:t>
      </w:r>
    </w:p>
    <w:p w14:paraId="16E96947" w14:textId="77777777" w:rsidR="00C35093" w:rsidRPr="004C19C4" w:rsidRDefault="00C35093" w:rsidP="00C35093">
      <w:pPr>
        <w:spacing w:before="120" w:after="120" w:line="300" w:lineRule="auto"/>
        <w:ind w:right="25"/>
        <w:rPr>
          <w:spacing w:val="-2"/>
          <w:sz w:val="18"/>
          <w:szCs w:val="18"/>
        </w:rPr>
      </w:pPr>
      <w:r w:rsidRPr="004C19C4">
        <w:rPr>
          <w:spacing w:val="-2"/>
          <w:sz w:val="18"/>
          <w:szCs w:val="18"/>
        </w:rPr>
        <w:t xml:space="preserve">Our purpose is: </w:t>
      </w:r>
      <w:r w:rsidRPr="004C19C4">
        <w:rPr>
          <w:b/>
          <w:bCs/>
          <w:spacing w:val="-2"/>
          <w:sz w:val="18"/>
          <w:szCs w:val="18"/>
        </w:rPr>
        <w:t>Power. Build. Buy. Together. For Queensland.</w:t>
      </w:r>
    </w:p>
    <w:p w14:paraId="13787767" w14:textId="77777777" w:rsidR="00C35093" w:rsidRDefault="00C35093" w:rsidP="00C35093">
      <w:pPr>
        <w:spacing w:before="120" w:after="120" w:line="300" w:lineRule="auto"/>
        <w:rPr>
          <w:spacing w:val="-2"/>
          <w:sz w:val="18"/>
          <w:szCs w:val="18"/>
        </w:rPr>
      </w:pPr>
      <w:r w:rsidRPr="004C19C4">
        <w:rPr>
          <w:spacing w:val="-2"/>
          <w:sz w:val="18"/>
          <w:szCs w:val="18"/>
        </w:rPr>
        <w:t xml:space="preserve">Our commitment to achieving the best possible outcomes for Queenslanders with disability is: </w:t>
      </w:r>
    </w:p>
    <w:p w14:paraId="0F895D26" w14:textId="77777777" w:rsidR="00C35093" w:rsidRPr="004C19C4" w:rsidRDefault="00C35093" w:rsidP="00C35093">
      <w:pPr>
        <w:spacing w:before="120" w:after="120" w:line="300" w:lineRule="auto"/>
        <w:rPr>
          <w:b/>
          <w:bCs/>
          <w:sz w:val="18"/>
          <w:szCs w:val="18"/>
          <w:lang w:eastAsia="en-US"/>
        </w:rPr>
      </w:pPr>
      <w:r w:rsidRPr="004C19C4">
        <w:rPr>
          <w:b/>
          <w:bCs/>
          <w:sz w:val="18"/>
          <w:szCs w:val="18"/>
          <w:lang w:eastAsia="en-US"/>
        </w:rPr>
        <w:t>Inclusion = A stronger EPW. Together.</w:t>
      </w:r>
    </w:p>
    <w:p w14:paraId="23C72D29" w14:textId="77777777" w:rsidR="00C35093" w:rsidRPr="004C19C4" w:rsidRDefault="00C35093" w:rsidP="00C35093">
      <w:pPr>
        <w:spacing w:before="120" w:after="120" w:line="300" w:lineRule="auto"/>
        <w:rPr>
          <w:spacing w:val="-2"/>
          <w:sz w:val="18"/>
          <w:szCs w:val="18"/>
        </w:rPr>
      </w:pPr>
      <w:r w:rsidRPr="004C19C4">
        <w:rPr>
          <w:spacing w:val="-2"/>
          <w:sz w:val="18"/>
          <w:szCs w:val="18"/>
        </w:rPr>
        <w:t xml:space="preserve">We aim to drive safety, </w:t>
      </w:r>
      <w:proofErr w:type="gramStart"/>
      <w:r w:rsidRPr="004C19C4">
        <w:rPr>
          <w:spacing w:val="-2"/>
          <w:sz w:val="18"/>
          <w:szCs w:val="18"/>
        </w:rPr>
        <w:t>respect</w:t>
      </w:r>
      <w:proofErr w:type="gramEnd"/>
      <w:r w:rsidRPr="004C19C4">
        <w:rPr>
          <w:spacing w:val="-2"/>
          <w:sz w:val="18"/>
          <w:szCs w:val="18"/>
        </w:rPr>
        <w:t xml:space="preserve"> and inclusion for every person. We recognise genuine inclusion will only become a reality when it is embraced by all levels of government, industry, communities and individuals, and that meaningful change can only be made through collective and collaborative effort, together.</w:t>
      </w:r>
    </w:p>
    <w:p w14:paraId="2B1C33C5" w14:textId="77777777" w:rsidR="00C35093" w:rsidRPr="004C19C4" w:rsidRDefault="00C35093" w:rsidP="00C35093">
      <w:pPr>
        <w:spacing w:before="120" w:after="120" w:line="300" w:lineRule="auto"/>
        <w:rPr>
          <w:spacing w:val="-2"/>
          <w:sz w:val="18"/>
          <w:szCs w:val="18"/>
        </w:rPr>
      </w:pPr>
      <w:r w:rsidRPr="004C19C4">
        <w:rPr>
          <w:spacing w:val="-2"/>
          <w:sz w:val="18"/>
          <w:szCs w:val="18"/>
        </w:rPr>
        <w:t>EPW plays a significant role in Queensland’s future, creating more job opportunities for industries and local business, especially in regional communities; reducing emissions and helping to achieve a greener, more sustainable future; and contributing to a successful carbon neutral Brisbane 2032 Olympic and Paralympic Games.</w:t>
      </w:r>
    </w:p>
    <w:p w14:paraId="73FAD70B" w14:textId="77777777" w:rsidR="00C35093" w:rsidRPr="004C19C4" w:rsidRDefault="00C35093" w:rsidP="00C35093">
      <w:pPr>
        <w:spacing w:before="120" w:after="120" w:line="300" w:lineRule="auto"/>
        <w:rPr>
          <w:spacing w:val="-2"/>
          <w:sz w:val="18"/>
          <w:szCs w:val="18"/>
        </w:rPr>
      </w:pPr>
      <w:r w:rsidRPr="004C19C4">
        <w:rPr>
          <w:spacing w:val="-2"/>
          <w:sz w:val="18"/>
          <w:szCs w:val="18"/>
        </w:rPr>
        <w:t xml:space="preserve">We are committed to being part of a coordinated whole-of-government approach for service delivery to people with disability to create real and lasting change. </w:t>
      </w:r>
    </w:p>
    <w:p w14:paraId="7918AFF6" w14:textId="77777777" w:rsidR="00C35093" w:rsidRPr="004C19C4" w:rsidRDefault="00C35093" w:rsidP="00C35093">
      <w:pPr>
        <w:spacing w:before="120" w:after="120" w:line="300" w:lineRule="auto"/>
        <w:rPr>
          <w:spacing w:val="-2"/>
          <w:sz w:val="18"/>
          <w:szCs w:val="18"/>
        </w:rPr>
      </w:pPr>
      <w:r w:rsidRPr="004C19C4">
        <w:rPr>
          <w:spacing w:val="-2"/>
          <w:sz w:val="18"/>
          <w:szCs w:val="18"/>
        </w:rPr>
        <w:t xml:space="preserve">For many years, the work undertaken by EPW has supported this approach through significant programs, policies and practices including: </w:t>
      </w:r>
    </w:p>
    <w:p w14:paraId="43237105" w14:textId="77777777" w:rsidR="00C35093" w:rsidRPr="004C19C4" w:rsidRDefault="00C35093" w:rsidP="00C35093">
      <w:pPr>
        <w:pStyle w:val="ListParagraph"/>
        <w:numPr>
          <w:ilvl w:val="0"/>
          <w:numId w:val="2"/>
        </w:numPr>
        <w:spacing w:before="120" w:after="120" w:line="300" w:lineRule="auto"/>
        <w:ind w:left="499" w:hanging="357"/>
        <w:rPr>
          <w:sz w:val="18"/>
          <w:szCs w:val="18"/>
          <w:lang w:eastAsia="en-US"/>
        </w:rPr>
      </w:pPr>
      <w:r w:rsidRPr="004C19C4">
        <w:rPr>
          <w:sz w:val="18"/>
          <w:szCs w:val="18"/>
        </w:rPr>
        <w:t>ongoing engagement with disability interests on key energy policy issues through the Queensland Council of Social Services energy consumer advocacy agreement</w:t>
      </w:r>
    </w:p>
    <w:p w14:paraId="41B3A203" w14:textId="77777777" w:rsidR="00C35093" w:rsidRPr="004C19C4" w:rsidRDefault="00C35093" w:rsidP="00C35093">
      <w:pPr>
        <w:pStyle w:val="ListParagraph"/>
        <w:numPr>
          <w:ilvl w:val="0"/>
          <w:numId w:val="2"/>
        </w:numPr>
        <w:spacing w:before="120" w:after="120" w:line="300" w:lineRule="auto"/>
        <w:ind w:left="499" w:hanging="357"/>
        <w:rPr>
          <w:spacing w:val="-2"/>
          <w:sz w:val="18"/>
          <w:szCs w:val="18"/>
        </w:rPr>
      </w:pPr>
      <w:r w:rsidRPr="004C19C4">
        <w:rPr>
          <w:sz w:val="18"/>
          <w:szCs w:val="18"/>
        </w:rPr>
        <w:t>building upgrade, refurbishments and fit outs designed to meet AS1428.2 1992 Design for access and mobility</w:t>
      </w:r>
    </w:p>
    <w:p w14:paraId="235B14B9" w14:textId="77777777" w:rsidR="00C35093" w:rsidRPr="004C19C4" w:rsidRDefault="00C35093" w:rsidP="00C35093">
      <w:pPr>
        <w:pStyle w:val="ListParagraph"/>
        <w:numPr>
          <w:ilvl w:val="0"/>
          <w:numId w:val="2"/>
        </w:numPr>
        <w:spacing w:before="120" w:after="120" w:line="300" w:lineRule="auto"/>
        <w:ind w:left="499" w:hanging="357"/>
        <w:rPr>
          <w:spacing w:val="-2"/>
          <w:sz w:val="18"/>
          <w:szCs w:val="18"/>
        </w:rPr>
      </w:pPr>
      <w:r w:rsidRPr="004C19C4">
        <w:rPr>
          <w:spacing w:val="-2"/>
          <w:sz w:val="18"/>
          <w:szCs w:val="18"/>
        </w:rPr>
        <w:t xml:space="preserve">all Government Employee Housing designs and builds consider the Liveable Housing Design Guidelines and meet the “Silver” level of accessibility as the minimum under the technical Standard of the Australian Building Codes Board </w:t>
      </w:r>
    </w:p>
    <w:p w14:paraId="7836C98E" w14:textId="77777777" w:rsidR="00C35093" w:rsidRPr="004C19C4" w:rsidRDefault="00C35093" w:rsidP="00C35093">
      <w:pPr>
        <w:pStyle w:val="ListParagraph"/>
        <w:numPr>
          <w:ilvl w:val="0"/>
          <w:numId w:val="2"/>
        </w:numPr>
        <w:spacing w:before="120" w:after="120" w:line="300" w:lineRule="auto"/>
        <w:ind w:left="499" w:hanging="357"/>
        <w:rPr>
          <w:spacing w:val="-2"/>
          <w:sz w:val="18"/>
          <w:szCs w:val="18"/>
        </w:rPr>
      </w:pPr>
      <w:r w:rsidRPr="004C19C4">
        <w:rPr>
          <w:sz w:val="18"/>
          <w:szCs w:val="18"/>
        </w:rPr>
        <w:t xml:space="preserve">60 </w:t>
      </w:r>
      <w:proofErr w:type="spellStart"/>
      <w:r w:rsidRPr="004C19C4">
        <w:rPr>
          <w:sz w:val="18"/>
          <w:szCs w:val="18"/>
        </w:rPr>
        <w:t>QFleet</w:t>
      </w:r>
      <w:proofErr w:type="spellEnd"/>
      <w:r w:rsidRPr="004C19C4">
        <w:rPr>
          <w:sz w:val="18"/>
          <w:szCs w:val="18"/>
        </w:rPr>
        <w:t xml:space="preserve"> vehicles with wheelchair access that are used by agencies to support delivery needs</w:t>
      </w:r>
    </w:p>
    <w:p w14:paraId="68DF504F" w14:textId="77777777" w:rsidR="00C35093" w:rsidRPr="004C19C4" w:rsidRDefault="00C35093" w:rsidP="00C35093">
      <w:pPr>
        <w:pStyle w:val="ListParagraph"/>
        <w:numPr>
          <w:ilvl w:val="0"/>
          <w:numId w:val="2"/>
        </w:numPr>
        <w:spacing w:before="120" w:after="120" w:line="300" w:lineRule="auto"/>
        <w:ind w:left="499" w:hanging="357"/>
        <w:rPr>
          <w:spacing w:val="-2"/>
          <w:sz w:val="18"/>
          <w:szCs w:val="18"/>
        </w:rPr>
      </w:pPr>
      <w:r w:rsidRPr="004C19C4">
        <w:rPr>
          <w:spacing w:val="-2"/>
          <w:sz w:val="18"/>
          <w:szCs w:val="18"/>
        </w:rPr>
        <w:t>the growth of social enterprise in Queensland supported through EPW social procurement projects and Queensland Procurement Policy principles.</w:t>
      </w:r>
    </w:p>
    <w:p w14:paraId="5A18CD20" w14:textId="77777777" w:rsidR="00C35093" w:rsidRPr="00AC5533" w:rsidRDefault="00C35093" w:rsidP="00C35093">
      <w:pPr>
        <w:spacing w:before="120" w:after="120" w:line="300" w:lineRule="auto"/>
        <w:rPr>
          <w:spacing w:val="-2"/>
          <w:sz w:val="18"/>
          <w:szCs w:val="18"/>
        </w:rPr>
      </w:pPr>
      <w:r w:rsidRPr="004C19C4">
        <w:rPr>
          <w:spacing w:val="-2"/>
          <w:sz w:val="18"/>
          <w:szCs w:val="18"/>
        </w:rPr>
        <w:t xml:space="preserve">Our new DSP identifies the actions we will take over the next three years to continue achieving good outcomes, to create a society that is inclusive of people with disability and address the diversity of the disability community and the unique challenges </w:t>
      </w:r>
      <w:r w:rsidRPr="00AC5533">
        <w:rPr>
          <w:spacing w:val="-2"/>
          <w:sz w:val="18"/>
          <w:szCs w:val="18"/>
        </w:rPr>
        <w:t xml:space="preserve">faced by Queenslander in all our regions. </w:t>
      </w:r>
    </w:p>
    <w:p w14:paraId="04822A15" w14:textId="77777777" w:rsidR="00C35093" w:rsidRPr="004C19C4" w:rsidRDefault="00C35093" w:rsidP="00C35093">
      <w:pPr>
        <w:spacing w:before="120" w:after="120" w:line="300" w:lineRule="auto"/>
        <w:rPr>
          <w:spacing w:val="-2"/>
          <w:sz w:val="18"/>
          <w:szCs w:val="18"/>
        </w:rPr>
      </w:pPr>
      <w:r w:rsidRPr="00BF10F9">
        <w:rPr>
          <w:spacing w:val="-2"/>
          <w:sz w:val="18"/>
          <w:szCs w:val="18"/>
        </w:rPr>
        <w:t>These actions</w:t>
      </w:r>
      <w:r w:rsidRPr="00AC5533">
        <w:rPr>
          <w:spacing w:val="-2"/>
          <w:sz w:val="18"/>
          <w:szCs w:val="18"/>
        </w:rPr>
        <w:t xml:space="preserve"> will</w:t>
      </w:r>
      <w:r w:rsidRPr="004C19C4">
        <w:rPr>
          <w:spacing w:val="-2"/>
          <w:sz w:val="18"/>
          <w:szCs w:val="18"/>
        </w:rPr>
        <w:t xml:space="preserve"> strengthen the way we Power. Build. Buy. Together. For Queensland. </w:t>
      </w:r>
    </w:p>
    <w:p w14:paraId="109518DC" w14:textId="77777777" w:rsidR="00C35093" w:rsidRPr="004C19C4" w:rsidRDefault="00C35093" w:rsidP="00C35093">
      <w:pPr>
        <w:spacing w:after="120" w:line="240" w:lineRule="auto"/>
        <w:ind w:right="23"/>
        <w:rPr>
          <w:b/>
          <w:bCs/>
          <w:spacing w:val="-2"/>
          <w:sz w:val="18"/>
          <w:szCs w:val="18"/>
        </w:rPr>
      </w:pPr>
      <w:r w:rsidRPr="004C19C4">
        <w:rPr>
          <w:b/>
          <w:bCs/>
          <w:spacing w:val="-2"/>
          <w:sz w:val="18"/>
          <w:szCs w:val="18"/>
        </w:rPr>
        <w:t>Paul Martyn</w:t>
      </w:r>
    </w:p>
    <w:p w14:paraId="42E7705C" w14:textId="77777777" w:rsidR="00C35093" w:rsidRPr="004C19C4" w:rsidRDefault="00C35093" w:rsidP="00C35093">
      <w:pPr>
        <w:spacing w:after="120" w:line="240" w:lineRule="auto"/>
        <w:ind w:right="23"/>
        <w:rPr>
          <w:b/>
          <w:bCs/>
          <w:spacing w:val="-2"/>
          <w:sz w:val="18"/>
          <w:szCs w:val="18"/>
        </w:rPr>
      </w:pPr>
      <w:r w:rsidRPr="004C19C4">
        <w:rPr>
          <w:b/>
          <w:bCs/>
          <w:spacing w:val="-2"/>
          <w:sz w:val="18"/>
          <w:szCs w:val="18"/>
        </w:rPr>
        <w:t>Director-General</w:t>
      </w:r>
    </w:p>
    <w:p w14:paraId="43CE5B5A" w14:textId="77777777" w:rsidR="00C35093" w:rsidRPr="004C19C4" w:rsidRDefault="00C35093" w:rsidP="00C35093">
      <w:pPr>
        <w:spacing w:after="120" w:line="240" w:lineRule="auto"/>
        <w:ind w:right="23"/>
        <w:rPr>
          <w:b/>
          <w:bCs/>
          <w:spacing w:val="-2"/>
          <w:sz w:val="18"/>
          <w:szCs w:val="18"/>
        </w:rPr>
      </w:pPr>
      <w:r w:rsidRPr="004C19C4">
        <w:rPr>
          <w:b/>
          <w:bCs/>
          <w:spacing w:val="-2"/>
          <w:sz w:val="18"/>
          <w:szCs w:val="18"/>
        </w:rPr>
        <w:t>Department of Energy and Public Works</w:t>
      </w:r>
    </w:p>
    <w:p w14:paraId="424C8B28" w14:textId="77777777" w:rsidR="00C35093" w:rsidRPr="00F03D3F" w:rsidRDefault="00C35093" w:rsidP="00C35093">
      <w:pPr>
        <w:pStyle w:val="Heading2"/>
        <w:numPr>
          <w:ilvl w:val="1"/>
          <w:numId w:val="0"/>
        </w:numPr>
        <w:ind w:left="578" w:hanging="578"/>
        <w:rPr>
          <w:b/>
          <w:bCs/>
          <w:sz w:val="28"/>
          <w:szCs w:val="28"/>
        </w:rPr>
      </w:pPr>
      <w:r w:rsidRPr="00F03D3F">
        <w:rPr>
          <w:b/>
          <w:bCs/>
          <w:sz w:val="28"/>
          <w:szCs w:val="28"/>
        </w:rPr>
        <w:lastRenderedPageBreak/>
        <w:t>A word from our Disability Champion</w:t>
      </w:r>
    </w:p>
    <w:p w14:paraId="0D8366F5" w14:textId="77777777" w:rsidR="00C35093" w:rsidRPr="009E3CCA" w:rsidRDefault="00C35093" w:rsidP="00C35093">
      <w:pPr>
        <w:rPr>
          <w:rFonts w:cstheme="minorBidi"/>
          <w:sz w:val="18"/>
          <w:szCs w:val="18"/>
        </w:rPr>
      </w:pPr>
      <w:r w:rsidRPr="009E3CCA">
        <w:rPr>
          <w:sz w:val="18"/>
          <w:szCs w:val="18"/>
        </w:rPr>
        <w:t>Creating a more inclusive workplace and removing barriers to employment will improve the design and delivery of our services. The pandemic made us rethink how we do what we do and opened us up to new ways of working.  This flexible, pragmatic approach needs to extend across our workplaces, so that we are tapping the broadest talent pool possible and optimising the value that staff with disability bring to EPW. Our Disability Inclusion Commitment describes how we can be a stronger agency, the challenge is now for us to act.</w:t>
      </w:r>
    </w:p>
    <w:p w14:paraId="05118E4A" w14:textId="77777777" w:rsidR="00C35093" w:rsidRPr="002D5652" w:rsidRDefault="00C35093" w:rsidP="00C35093">
      <w:pPr>
        <w:rPr>
          <w:b/>
          <w:bCs/>
          <w:sz w:val="18"/>
          <w:szCs w:val="18"/>
        </w:rPr>
      </w:pPr>
      <w:r w:rsidRPr="002D5652">
        <w:rPr>
          <w:b/>
          <w:bCs/>
          <w:sz w:val="18"/>
          <w:szCs w:val="18"/>
        </w:rPr>
        <w:t>Sharon Bailey, Deputy Director-General Procurement</w:t>
      </w:r>
    </w:p>
    <w:p w14:paraId="36919F3B" w14:textId="77777777" w:rsidR="00C35093" w:rsidRPr="00F03D3F" w:rsidRDefault="00C35093" w:rsidP="00C35093">
      <w:pPr>
        <w:pStyle w:val="Heading2"/>
        <w:numPr>
          <w:ilvl w:val="1"/>
          <w:numId w:val="0"/>
        </w:numPr>
        <w:ind w:left="578" w:hanging="578"/>
        <w:rPr>
          <w:b/>
          <w:bCs/>
          <w:sz w:val="28"/>
          <w:szCs w:val="28"/>
        </w:rPr>
      </w:pPr>
      <w:bookmarkStart w:id="0" w:name="_Hlk120102037"/>
      <w:bookmarkEnd w:id="0"/>
      <w:r w:rsidRPr="00F03D3F">
        <w:rPr>
          <w:b/>
          <w:bCs/>
          <w:sz w:val="28"/>
          <w:szCs w:val="28"/>
        </w:rPr>
        <w:t xml:space="preserve">Our Disability Inclusion Commitment </w:t>
      </w:r>
    </w:p>
    <w:p w14:paraId="0B9662D1" w14:textId="77777777" w:rsidR="00C35093" w:rsidRPr="00F03D3F" w:rsidRDefault="00C35093" w:rsidP="00C35093">
      <w:pPr>
        <w:spacing w:before="240"/>
        <w:rPr>
          <w:b/>
          <w:bCs/>
          <w:sz w:val="20"/>
          <w:szCs w:val="20"/>
          <w:lang w:eastAsia="en-US"/>
        </w:rPr>
      </w:pPr>
      <w:r w:rsidRPr="00F03D3F">
        <w:rPr>
          <w:b/>
          <w:bCs/>
          <w:sz w:val="20"/>
          <w:szCs w:val="20"/>
        </w:rPr>
        <w:t>Inclusion = A stronger EPW. Together.</w:t>
      </w:r>
    </w:p>
    <w:p w14:paraId="2359B13D" w14:textId="77777777" w:rsidR="00C35093" w:rsidRPr="004C19C4" w:rsidRDefault="00C35093" w:rsidP="00C35093">
      <w:pPr>
        <w:rPr>
          <w:sz w:val="18"/>
          <w:szCs w:val="18"/>
          <w:lang w:eastAsia="en-US"/>
        </w:rPr>
      </w:pPr>
      <w:r w:rsidRPr="004C19C4">
        <w:rPr>
          <w:sz w:val="18"/>
          <w:szCs w:val="18"/>
        </w:rPr>
        <w:t>We are building a sustainable future for all Queenslanders, including people with disability, with a culture based on choice, participation, overcoming barriers and realising everyone’s potential.</w:t>
      </w:r>
    </w:p>
    <w:p w14:paraId="42F1254F" w14:textId="77777777" w:rsidR="00C35093" w:rsidRPr="004C19C4" w:rsidRDefault="00C35093" w:rsidP="00C35093">
      <w:pPr>
        <w:rPr>
          <w:sz w:val="18"/>
          <w:szCs w:val="18"/>
          <w:lang w:eastAsia="en-US"/>
        </w:rPr>
      </w:pPr>
      <w:r w:rsidRPr="004C19C4">
        <w:rPr>
          <w:sz w:val="18"/>
          <w:szCs w:val="18"/>
        </w:rPr>
        <w:t>We commit to being a workplace whose practices, service delivery and staff are inclusive and whose actions respect, protect and promote human rights in all we do.</w:t>
      </w:r>
    </w:p>
    <w:p w14:paraId="383131B9" w14:textId="77777777" w:rsidR="00C35093" w:rsidRPr="004C19C4" w:rsidRDefault="00C35093" w:rsidP="00C35093">
      <w:pPr>
        <w:rPr>
          <w:sz w:val="18"/>
          <w:szCs w:val="18"/>
          <w:lang w:eastAsia="en-US"/>
        </w:rPr>
      </w:pPr>
      <w:r w:rsidRPr="004C19C4">
        <w:rPr>
          <w:sz w:val="18"/>
          <w:szCs w:val="18"/>
        </w:rPr>
        <w:t xml:space="preserve">We commit to including people with disability, their </w:t>
      </w:r>
      <w:proofErr w:type="spellStart"/>
      <w:proofErr w:type="gramStart"/>
      <w:r w:rsidRPr="004C19C4">
        <w:rPr>
          <w:sz w:val="18"/>
          <w:szCs w:val="18"/>
        </w:rPr>
        <w:t>carers</w:t>
      </w:r>
      <w:proofErr w:type="spellEnd"/>
      <w:proofErr w:type="gramEnd"/>
      <w:r w:rsidRPr="004C19C4">
        <w:rPr>
          <w:sz w:val="18"/>
          <w:szCs w:val="18"/>
        </w:rPr>
        <w:t xml:space="preserve"> and communities, and to understanding their opportunities and challenges.</w:t>
      </w:r>
    </w:p>
    <w:p w14:paraId="524D60DF" w14:textId="77777777" w:rsidR="00C35093" w:rsidRPr="004C19C4" w:rsidRDefault="00C35093" w:rsidP="00C35093">
      <w:pPr>
        <w:rPr>
          <w:sz w:val="18"/>
          <w:szCs w:val="18"/>
          <w:lang w:eastAsia="en-US"/>
        </w:rPr>
      </w:pPr>
      <w:r w:rsidRPr="004C19C4">
        <w:rPr>
          <w:sz w:val="18"/>
          <w:szCs w:val="18"/>
        </w:rPr>
        <w:t xml:space="preserve">We commit to designing and managing our Power, Build, </w:t>
      </w:r>
      <w:proofErr w:type="gramStart"/>
      <w:r w:rsidRPr="004C19C4">
        <w:rPr>
          <w:sz w:val="18"/>
          <w:szCs w:val="18"/>
        </w:rPr>
        <w:t>Buy</w:t>
      </w:r>
      <w:proofErr w:type="gramEnd"/>
      <w:r w:rsidRPr="004C19C4">
        <w:rPr>
          <w:sz w:val="18"/>
          <w:szCs w:val="18"/>
        </w:rPr>
        <w:t xml:space="preserve"> services and projects in ways that consider the inclusion of all people.</w:t>
      </w:r>
    </w:p>
    <w:p w14:paraId="7D8A1C9B" w14:textId="77777777" w:rsidR="00C35093" w:rsidRPr="004C19C4" w:rsidRDefault="00C35093" w:rsidP="00C35093">
      <w:pPr>
        <w:rPr>
          <w:sz w:val="18"/>
          <w:szCs w:val="18"/>
          <w:lang w:eastAsia="en-US"/>
        </w:rPr>
      </w:pPr>
      <w:r w:rsidRPr="004C19C4">
        <w:rPr>
          <w:sz w:val="18"/>
          <w:szCs w:val="18"/>
        </w:rPr>
        <w:t xml:space="preserve">We commit to acting inclusively, to collaborate with courage, and to ensure all our unique voices are heard. </w:t>
      </w:r>
    </w:p>
    <w:p w14:paraId="36785F18" w14:textId="77777777" w:rsidR="00C35093" w:rsidRPr="004C19C4" w:rsidRDefault="00C35093" w:rsidP="00C35093">
      <w:pPr>
        <w:rPr>
          <w:sz w:val="18"/>
          <w:szCs w:val="18"/>
        </w:rPr>
      </w:pPr>
      <w:r w:rsidRPr="004C19C4">
        <w:rPr>
          <w:sz w:val="18"/>
          <w:szCs w:val="18"/>
        </w:rPr>
        <w:t>Inclusion makes us stronger – together, for Queensland.</w:t>
      </w:r>
    </w:p>
    <w:p w14:paraId="574043F5" w14:textId="3A2362B9" w:rsidR="00C35093" w:rsidRPr="00F03D3F" w:rsidRDefault="00C35093" w:rsidP="00C35093">
      <w:pPr>
        <w:spacing w:after="120"/>
        <w:rPr>
          <w:b/>
          <w:bCs/>
          <w:sz w:val="28"/>
          <w:szCs w:val="28"/>
        </w:rPr>
      </w:pPr>
      <w:r w:rsidRPr="00F03D3F">
        <w:rPr>
          <w:b/>
          <w:bCs/>
          <w:sz w:val="28"/>
          <w:szCs w:val="28"/>
        </w:rPr>
        <w:t>Context</w:t>
      </w:r>
    </w:p>
    <w:p w14:paraId="577BFAE0" w14:textId="423A93F3" w:rsidR="00C35093" w:rsidRDefault="00C35093" w:rsidP="00C35093">
      <w:pPr>
        <w:rPr>
          <w:sz w:val="20"/>
          <w:szCs w:val="20"/>
        </w:rPr>
      </w:pPr>
      <w:r w:rsidRPr="00DE34ED">
        <w:rPr>
          <w:sz w:val="20"/>
          <w:szCs w:val="20"/>
        </w:rPr>
        <w:t>International, national, and state frameworks together guide the approach to achieve more inclusive outcomes for Queenslanders with disability.</w:t>
      </w:r>
    </w:p>
    <w:p w14:paraId="5C4A9682" w14:textId="11A089CC" w:rsidR="00C35093" w:rsidRPr="00C60254" w:rsidRDefault="00C35093" w:rsidP="00AF3CDF">
      <w:pPr>
        <w:pStyle w:val="ListParagraph"/>
        <w:numPr>
          <w:ilvl w:val="0"/>
          <w:numId w:val="10"/>
        </w:numPr>
        <w:rPr>
          <w:sz w:val="20"/>
          <w:szCs w:val="20"/>
        </w:rPr>
      </w:pPr>
      <w:r w:rsidRPr="00C60254">
        <w:rPr>
          <w:sz w:val="20"/>
          <w:szCs w:val="20"/>
        </w:rPr>
        <w:t>International</w:t>
      </w:r>
      <w:r w:rsidRPr="00C60254">
        <w:rPr>
          <w:sz w:val="20"/>
          <w:szCs w:val="20"/>
        </w:rPr>
        <w:br/>
        <w:t>United Nations Convention on the Rights of Persons with Disabilities</w:t>
      </w:r>
    </w:p>
    <w:p w14:paraId="20486B39" w14:textId="0A63D815" w:rsidR="00C35093" w:rsidRPr="00C60254" w:rsidRDefault="00C35093" w:rsidP="00AF3CDF">
      <w:pPr>
        <w:pStyle w:val="ListParagraph"/>
        <w:numPr>
          <w:ilvl w:val="0"/>
          <w:numId w:val="10"/>
        </w:numPr>
        <w:rPr>
          <w:sz w:val="20"/>
          <w:szCs w:val="20"/>
        </w:rPr>
      </w:pPr>
      <w:r w:rsidRPr="00C60254">
        <w:rPr>
          <w:sz w:val="20"/>
          <w:szCs w:val="20"/>
        </w:rPr>
        <w:t>National</w:t>
      </w:r>
      <w:r w:rsidRPr="00C60254">
        <w:rPr>
          <w:sz w:val="20"/>
          <w:szCs w:val="20"/>
        </w:rPr>
        <w:br/>
        <w:t>Australia’s Disability Strategy</w:t>
      </w:r>
    </w:p>
    <w:p w14:paraId="33656017" w14:textId="1AA90457" w:rsidR="00C35093" w:rsidRPr="00C60254" w:rsidRDefault="00C35093" w:rsidP="00AF3CDF">
      <w:pPr>
        <w:pStyle w:val="ListParagraph"/>
        <w:numPr>
          <w:ilvl w:val="0"/>
          <w:numId w:val="10"/>
        </w:numPr>
        <w:rPr>
          <w:sz w:val="20"/>
          <w:szCs w:val="20"/>
        </w:rPr>
      </w:pPr>
      <w:r w:rsidRPr="00C60254">
        <w:rPr>
          <w:sz w:val="20"/>
          <w:szCs w:val="20"/>
        </w:rPr>
        <w:t>State</w:t>
      </w:r>
      <w:r w:rsidRPr="00C60254">
        <w:rPr>
          <w:sz w:val="20"/>
          <w:szCs w:val="20"/>
        </w:rPr>
        <w:br/>
        <w:t>State Disability Plan</w:t>
      </w:r>
    </w:p>
    <w:p w14:paraId="0554C24D" w14:textId="580AF907" w:rsidR="00C35093" w:rsidRPr="00C60254" w:rsidRDefault="00C35093" w:rsidP="00AF3CDF">
      <w:pPr>
        <w:pStyle w:val="ListParagraph"/>
        <w:numPr>
          <w:ilvl w:val="0"/>
          <w:numId w:val="10"/>
        </w:numPr>
        <w:rPr>
          <w:sz w:val="20"/>
          <w:szCs w:val="20"/>
        </w:rPr>
      </w:pPr>
      <w:r w:rsidRPr="00C60254">
        <w:rPr>
          <w:sz w:val="20"/>
          <w:szCs w:val="20"/>
        </w:rPr>
        <w:t>Departments</w:t>
      </w:r>
      <w:r w:rsidRPr="00C60254">
        <w:rPr>
          <w:sz w:val="20"/>
          <w:szCs w:val="20"/>
        </w:rPr>
        <w:br/>
        <w:t>Disability Service Plans</w:t>
      </w:r>
    </w:p>
    <w:p w14:paraId="4A543A4B" w14:textId="77777777" w:rsidR="00C35093" w:rsidRPr="00667063" w:rsidRDefault="00C35093" w:rsidP="00C35093">
      <w:pPr>
        <w:spacing w:after="120"/>
        <w:rPr>
          <w:b/>
          <w:bCs/>
          <w:color w:val="658F8B"/>
          <w:sz w:val="24"/>
          <w:szCs w:val="24"/>
        </w:rPr>
      </w:pPr>
      <w:r w:rsidRPr="00AC4E86">
        <w:rPr>
          <w:b/>
          <w:bCs/>
          <w:sz w:val="24"/>
          <w:szCs w:val="24"/>
        </w:rPr>
        <w:t>United Nations Convention on the Rights of Persons with Disabilities</w:t>
      </w:r>
    </w:p>
    <w:p w14:paraId="1C4D1DB3" w14:textId="77777777" w:rsidR="00C35093" w:rsidRPr="00DE34ED" w:rsidRDefault="00C35093" w:rsidP="00C35093">
      <w:pPr>
        <w:rPr>
          <w:sz w:val="20"/>
          <w:szCs w:val="20"/>
        </w:rPr>
      </w:pPr>
      <w:r w:rsidRPr="00DE34ED">
        <w:rPr>
          <w:sz w:val="20"/>
          <w:szCs w:val="20"/>
        </w:rPr>
        <w:t>The United Nations Convention on the Rights of Persons with Disabilities (UNCRPD) provides the framework to promote and protect the human rights of people with disability. Australia has adopted and is implementing the UNCRPD through Australia’s Disability Strategy 2021-2031.</w:t>
      </w:r>
    </w:p>
    <w:p w14:paraId="55791652" w14:textId="77777777" w:rsidR="00C35093" w:rsidRPr="00F03D3F" w:rsidRDefault="00C35093" w:rsidP="00C35093">
      <w:pPr>
        <w:spacing w:after="120"/>
        <w:rPr>
          <w:b/>
          <w:bCs/>
          <w:sz w:val="24"/>
          <w:szCs w:val="24"/>
        </w:rPr>
      </w:pPr>
      <w:r w:rsidRPr="00F03D3F">
        <w:rPr>
          <w:b/>
          <w:bCs/>
          <w:sz w:val="24"/>
          <w:szCs w:val="24"/>
        </w:rPr>
        <w:t>Australia’s Disability Strategy 2021-2031</w:t>
      </w:r>
    </w:p>
    <w:p w14:paraId="215A2DC5" w14:textId="77777777" w:rsidR="00C35093" w:rsidRPr="00DE34ED" w:rsidRDefault="00C35093" w:rsidP="00C35093">
      <w:pPr>
        <w:rPr>
          <w:sz w:val="20"/>
          <w:szCs w:val="20"/>
        </w:rPr>
      </w:pPr>
      <w:r w:rsidRPr="00DE34ED">
        <w:rPr>
          <w:sz w:val="20"/>
          <w:szCs w:val="20"/>
        </w:rPr>
        <w:t xml:space="preserve">Australia’s Disability Strategy 2021-2031 (ADS) is Australia’s national disability policy framework. The ADS will drive change over the next decade to protect and uphold the rights of close to 4.4 million Australians who live with disability, including just under one in five Queenslanders. The ADS builds on the previous National Disability Strategy 2010-2020 and renews the joint commitment of all levels of government to improve the lives of Australians with disability. It will guide disability policy over the </w:t>
      </w:r>
      <w:r w:rsidRPr="00DE34ED">
        <w:rPr>
          <w:sz w:val="20"/>
          <w:szCs w:val="20"/>
        </w:rPr>
        <w:lastRenderedPageBreak/>
        <w:t>next ten years and will be implemented through state disability plans and agency disability service plans.</w:t>
      </w:r>
    </w:p>
    <w:p w14:paraId="7C85C8EA" w14:textId="77777777" w:rsidR="00C35093" w:rsidRDefault="00C35093" w:rsidP="00C35093">
      <w:pPr>
        <w:rPr>
          <w:sz w:val="20"/>
          <w:szCs w:val="20"/>
        </w:rPr>
      </w:pPr>
      <w:r w:rsidRPr="00DE34ED">
        <w:rPr>
          <w:sz w:val="20"/>
          <w:szCs w:val="20"/>
        </w:rPr>
        <w:t xml:space="preserve">The ADS vision is for </w:t>
      </w:r>
      <w:r w:rsidRPr="00AF3CDF">
        <w:rPr>
          <w:b/>
          <w:i/>
          <w:sz w:val="20"/>
          <w:szCs w:val="20"/>
        </w:rPr>
        <w:t>an inclusive Australian society that ensures people with disability can fulfil their potential, as equal members of the community</w:t>
      </w:r>
      <w:r w:rsidRPr="00AF3CDF">
        <w:rPr>
          <w:sz w:val="20"/>
          <w:szCs w:val="20"/>
        </w:rPr>
        <w:t xml:space="preserve">. </w:t>
      </w:r>
      <w:r>
        <w:rPr>
          <w:color w:val="3E4C5A"/>
          <w:sz w:val="20"/>
          <w:szCs w:val="20"/>
        </w:rPr>
        <w:br/>
      </w:r>
    </w:p>
    <w:p w14:paraId="1B9A9A36" w14:textId="56D3202A" w:rsidR="00C35093" w:rsidRDefault="00C35093" w:rsidP="00C35093">
      <w:pPr>
        <w:rPr>
          <w:sz w:val="20"/>
          <w:szCs w:val="20"/>
        </w:rPr>
      </w:pPr>
      <w:r w:rsidRPr="00DE34ED">
        <w:rPr>
          <w:sz w:val="20"/>
          <w:szCs w:val="20"/>
        </w:rPr>
        <w:t xml:space="preserve">The ADS identifies seven outcome areas that </w:t>
      </w:r>
      <w:r>
        <w:rPr>
          <w:sz w:val="20"/>
          <w:szCs w:val="20"/>
        </w:rPr>
        <w:t>governments at all levels will focus on delivering</w:t>
      </w:r>
      <w:r w:rsidRPr="00DE34ED">
        <w:rPr>
          <w:sz w:val="20"/>
          <w:szCs w:val="20"/>
        </w:rPr>
        <w:t>:</w:t>
      </w:r>
    </w:p>
    <w:p w14:paraId="3D3681EF" w14:textId="0EDF0DCD" w:rsidR="00C35093" w:rsidRPr="00AF3CDF" w:rsidRDefault="00C35093" w:rsidP="00AF3CDF">
      <w:pPr>
        <w:pStyle w:val="ListParagraph"/>
        <w:numPr>
          <w:ilvl w:val="0"/>
          <w:numId w:val="9"/>
        </w:numPr>
        <w:rPr>
          <w:b/>
          <w:bCs/>
          <w:sz w:val="18"/>
          <w:szCs w:val="18"/>
        </w:rPr>
      </w:pPr>
      <w:r w:rsidRPr="00AF3CDF">
        <w:rPr>
          <w:b/>
          <w:bCs/>
          <w:sz w:val="18"/>
          <w:szCs w:val="18"/>
        </w:rPr>
        <w:t>Employment and financial security</w:t>
      </w:r>
    </w:p>
    <w:p w14:paraId="1E212733" w14:textId="0A036BC4" w:rsidR="00C35093" w:rsidRPr="00AF3CDF" w:rsidRDefault="00C35093" w:rsidP="00AF3CDF">
      <w:pPr>
        <w:pStyle w:val="ListParagraph"/>
        <w:numPr>
          <w:ilvl w:val="1"/>
          <w:numId w:val="9"/>
        </w:numPr>
        <w:rPr>
          <w:sz w:val="18"/>
          <w:szCs w:val="18"/>
        </w:rPr>
      </w:pPr>
      <w:r w:rsidRPr="00AF3CDF">
        <w:rPr>
          <w:sz w:val="18"/>
          <w:szCs w:val="18"/>
        </w:rPr>
        <w:t>Providing jobs and career opportunities for people with disability and making sure they have enough income to meet their needs.</w:t>
      </w:r>
    </w:p>
    <w:p w14:paraId="4049F460" w14:textId="0D6B267C" w:rsidR="00C35093" w:rsidRPr="00AF3CDF" w:rsidRDefault="00C35093" w:rsidP="00AF3CDF">
      <w:pPr>
        <w:pStyle w:val="ListParagraph"/>
        <w:numPr>
          <w:ilvl w:val="0"/>
          <w:numId w:val="9"/>
        </w:numPr>
        <w:rPr>
          <w:b/>
          <w:bCs/>
          <w:sz w:val="18"/>
          <w:szCs w:val="18"/>
          <w:lang w:eastAsia="en-US"/>
        </w:rPr>
      </w:pPr>
      <w:r w:rsidRPr="00AF3CDF">
        <w:rPr>
          <w:b/>
          <w:bCs/>
          <w:sz w:val="18"/>
          <w:szCs w:val="18"/>
          <w:lang w:eastAsia="en-US"/>
        </w:rPr>
        <w:t>Inclusive homes and communities</w:t>
      </w:r>
    </w:p>
    <w:p w14:paraId="3E384D9D" w14:textId="62B027E7" w:rsidR="00C35093" w:rsidRPr="00AF3CDF" w:rsidRDefault="00C35093" w:rsidP="00AF3CDF">
      <w:pPr>
        <w:pStyle w:val="ListParagraph"/>
        <w:numPr>
          <w:ilvl w:val="1"/>
          <w:numId w:val="9"/>
        </w:numPr>
        <w:rPr>
          <w:sz w:val="18"/>
          <w:szCs w:val="18"/>
          <w:lang w:eastAsia="en-US"/>
        </w:rPr>
      </w:pPr>
      <w:r w:rsidRPr="00AF3CDF">
        <w:rPr>
          <w:sz w:val="18"/>
          <w:szCs w:val="18"/>
          <w:lang w:eastAsia="en-US"/>
        </w:rPr>
        <w:t xml:space="preserve">Increasing the number of accessible, </w:t>
      </w:r>
      <w:proofErr w:type="gramStart"/>
      <w:r w:rsidRPr="00AF3CDF">
        <w:rPr>
          <w:sz w:val="18"/>
          <w:szCs w:val="18"/>
          <w:lang w:eastAsia="en-US"/>
        </w:rPr>
        <w:t>affordable</w:t>
      </w:r>
      <w:proofErr w:type="gramEnd"/>
      <w:r w:rsidRPr="00AF3CDF">
        <w:rPr>
          <w:sz w:val="18"/>
          <w:szCs w:val="18"/>
          <w:lang w:eastAsia="en-US"/>
        </w:rPr>
        <w:t xml:space="preserve"> and well-designed homes and creating a community that is inclusive and accessible.</w:t>
      </w:r>
    </w:p>
    <w:p w14:paraId="1AF7C65A" w14:textId="67BE3F2A" w:rsidR="00C35093" w:rsidRPr="00AF3CDF" w:rsidRDefault="00C35093" w:rsidP="00AF3CDF">
      <w:pPr>
        <w:pStyle w:val="ListParagraph"/>
        <w:numPr>
          <w:ilvl w:val="0"/>
          <w:numId w:val="9"/>
        </w:numPr>
        <w:rPr>
          <w:b/>
          <w:bCs/>
          <w:sz w:val="18"/>
          <w:szCs w:val="18"/>
          <w:lang w:eastAsia="en-US"/>
        </w:rPr>
      </w:pPr>
      <w:r w:rsidRPr="00AF3CDF">
        <w:rPr>
          <w:b/>
          <w:bCs/>
          <w:sz w:val="18"/>
          <w:szCs w:val="18"/>
          <w:lang w:eastAsia="en-US"/>
        </w:rPr>
        <w:t xml:space="preserve">Safety, </w:t>
      </w:r>
      <w:proofErr w:type="gramStart"/>
      <w:r w:rsidRPr="00AF3CDF">
        <w:rPr>
          <w:b/>
          <w:bCs/>
          <w:sz w:val="18"/>
          <w:szCs w:val="18"/>
          <w:lang w:eastAsia="en-US"/>
        </w:rPr>
        <w:t>rights</w:t>
      </w:r>
      <w:proofErr w:type="gramEnd"/>
      <w:r w:rsidRPr="00AF3CDF">
        <w:rPr>
          <w:b/>
          <w:bCs/>
          <w:sz w:val="18"/>
          <w:szCs w:val="18"/>
          <w:lang w:eastAsia="en-US"/>
        </w:rPr>
        <w:t xml:space="preserve"> and justice</w:t>
      </w:r>
    </w:p>
    <w:p w14:paraId="088A16A3" w14:textId="0E98C0A8" w:rsidR="00C35093" w:rsidRPr="00AF3CDF" w:rsidRDefault="00C35093" w:rsidP="00AF3CDF">
      <w:pPr>
        <w:pStyle w:val="ListParagraph"/>
        <w:numPr>
          <w:ilvl w:val="1"/>
          <w:numId w:val="9"/>
        </w:numPr>
        <w:rPr>
          <w:sz w:val="18"/>
          <w:szCs w:val="18"/>
        </w:rPr>
      </w:pPr>
      <w:r w:rsidRPr="00AF3CDF">
        <w:rPr>
          <w:sz w:val="18"/>
          <w:szCs w:val="18"/>
        </w:rPr>
        <w:t xml:space="preserve">Ensuring the rights of people with disability are promoted, </w:t>
      </w:r>
      <w:proofErr w:type="gramStart"/>
      <w:r w:rsidRPr="00AF3CDF">
        <w:rPr>
          <w:sz w:val="18"/>
          <w:szCs w:val="18"/>
        </w:rPr>
        <w:t>upheld</w:t>
      </w:r>
      <w:proofErr w:type="gramEnd"/>
      <w:r w:rsidRPr="00AF3CDF">
        <w:rPr>
          <w:sz w:val="18"/>
          <w:szCs w:val="18"/>
        </w:rPr>
        <w:t xml:space="preserve"> and protected, and people with disability feel safe and enjoy equality before the law.</w:t>
      </w:r>
    </w:p>
    <w:p w14:paraId="1523998B" w14:textId="45B1CB48" w:rsidR="00C35093" w:rsidRPr="00AF3CDF" w:rsidRDefault="00C35093" w:rsidP="00AF3CDF">
      <w:pPr>
        <w:pStyle w:val="ListParagraph"/>
        <w:numPr>
          <w:ilvl w:val="0"/>
          <w:numId w:val="9"/>
        </w:numPr>
        <w:rPr>
          <w:b/>
          <w:bCs/>
          <w:sz w:val="18"/>
          <w:szCs w:val="18"/>
          <w:lang w:eastAsia="en-US"/>
        </w:rPr>
      </w:pPr>
      <w:r w:rsidRPr="00AF3CDF">
        <w:rPr>
          <w:b/>
          <w:bCs/>
          <w:sz w:val="18"/>
          <w:szCs w:val="18"/>
          <w:lang w:eastAsia="en-US"/>
        </w:rPr>
        <w:t>Personal and community support</w:t>
      </w:r>
    </w:p>
    <w:p w14:paraId="3764BF10" w14:textId="0E97774E" w:rsidR="00C35093" w:rsidRPr="00AF3CDF" w:rsidRDefault="00C35093" w:rsidP="00AF3CDF">
      <w:pPr>
        <w:pStyle w:val="ListParagraph"/>
        <w:numPr>
          <w:ilvl w:val="1"/>
          <w:numId w:val="9"/>
        </w:numPr>
        <w:spacing w:after="0"/>
        <w:rPr>
          <w:b/>
          <w:bCs/>
          <w:sz w:val="18"/>
          <w:szCs w:val="18"/>
          <w:lang w:eastAsia="en-US"/>
        </w:rPr>
      </w:pPr>
      <w:r w:rsidRPr="00AF3CDF">
        <w:rPr>
          <w:sz w:val="18"/>
          <w:szCs w:val="18"/>
        </w:rPr>
        <w:t xml:space="preserve">Providing people with disability access to supports so they can live independently and engage in their communities. </w:t>
      </w:r>
    </w:p>
    <w:p w14:paraId="5238F0BE" w14:textId="09CA77DB" w:rsidR="00C35093" w:rsidRPr="00AF3CDF" w:rsidRDefault="00C35093" w:rsidP="00AF3CDF">
      <w:pPr>
        <w:pStyle w:val="ListParagraph"/>
        <w:numPr>
          <w:ilvl w:val="0"/>
          <w:numId w:val="9"/>
        </w:numPr>
        <w:rPr>
          <w:b/>
          <w:bCs/>
          <w:sz w:val="18"/>
          <w:szCs w:val="18"/>
          <w:lang w:eastAsia="en-US"/>
        </w:rPr>
      </w:pPr>
      <w:r w:rsidRPr="00AF3CDF">
        <w:rPr>
          <w:b/>
          <w:bCs/>
          <w:sz w:val="18"/>
          <w:szCs w:val="18"/>
          <w:lang w:eastAsia="en-US"/>
        </w:rPr>
        <w:t>Education and learning</w:t>
      </w:r>
    </w:p>
    <w:p w14:paraId="0E91E1F3" w14:textId="1912BA05" w:rsidR="00C35093" w:rsidRPr="00AF3CDF" w:rsidRDefault="00C35093" w:rsidP="00AF3CDF">
      <w:pPr>
        <w:pStyle w:val="ListParagraph"/>
        <w:numPr>
          <w:ilvl w:val="1"/>
          <w:numId w:val="9"/>
        </w:numPr>
        <w:rPr>
          <w:sz w:val="18"/>
          <w:szCs w:val="18"/>
        </w:rPr>
      </w:pPr>
      <w:r w:rsidRPr="00AF3CDF">
        <w:rPr>
          <w:sz w:val="18"/>
          <w:szCs w:val="18"/>
        </w:rPr>
        <w:t>Supporting people with disability to access education and learning throughout their lives so they achieve their full potential.</w:t>
      </w:r>
    </w:p>
    <w:p w14:paraId="7E76FFBE" w14:textId="0FD9985D" w:rsidR="00C35093" w:rsidRPr="00AF3CDF" w:rsidRDefault="00C35093" w:rsidP="00AF3CDF">
      <w:pPr>
        <w:pStyle w:val="ListParagraph"/>
        <w:numPr>
          <w:ilvl w:val="0"/>
          <w:numId w:val="9"/>
        </w:numPr>
        <w:rPr>
          <w:b/>
          <w:bCs/>
          <w:sz w:val="18"/>
          <w:szCs w:val="18"/>
          <w:lang w:eastAsia="en-US"/>
        </w:rPr>
      </w:pPr>
      <w:r w:rsidRPr="00AF3CDF">
        <w:rPr>
          <w:b/>
          <w:bCs/>
          <w:sz w:val="18"/>
          <w:szCs w:val="18"/>
          <w:lang w:eastAsia="en-US"/>
        </w:rPr>
        <w:t>Health and wellbeing</w:t>
      </w:r>
    </w:p>
    <w:p w14:paraId="29B6F124" w14:textId="222AED25" w:rsidR="00C35093" w:rsidRPr="00AF3CDF" w:rsidRDefault="00C35093" w:rsidP="00AF3CDF">
      <w:pPr>
        <w:pStyle w:val="ListParagraph"/>
        <w:numPr>
          <w:ilvl w:val="1"/>
          <w:numId w:val="9"/>
        </w:numPr>
        <w:rPr>
          <w:sz w:val="18"/>
          <w:szCs w:val="18"/>
        </w:rPr>
      </w:pPr>
      <w:r w:rsidRPr="00AF3CDF">
        <w:rPr>
          <w:sz w:val="18"/>
          <w:szCs w:val="18"/>
        </w:rPr>
        <w:t>Increasing support and capability in the healthcare sector to meet the needs of people with disability and ensuring disaster preparedness and emergency responses include the needs of people with disability.</w:t>
      </w:r>
    </w:p>
    <w:p w14:paraId="02539511" w14:textId="77777777" w:rsidR="00AF3CDF" w:rsidRPr="00AF3CDF" w:rsidRDefault="00C35093" w:rsidP="00AF3CDF">
      <w:pPr>
        <w:pStyle w:val="ListParagraph"/>
        <w:numPr>
          <w:ilvl w:val="0"/>
          <w:numId w:val="9"/>
        </w:numPr>
        <w:spacing w:after="0"/>
        <w:ind w:left="862"/>
        <w:rPr>
          <w:sz w:val="18"/>
          <w:szCs w:val="18"/>
        </w:rPr>
      </w:pPr>
      <w:r w:rsidRPr="00AF3CDF">
        <w:rPr>
          <w:b/>
          <w:bCs/>
          <w:sz w:val="18"/>
          <w:szCs w:val="18"/>
          <w:lang w:eastAsia="en-US"/>
        </w:rPr>
        <w:t>Community attitudes</w:t>
      </w:r>
    </w:p>
    <w:p w14:paraId="51D70DD5" w14:textId="3E529CBB" w:rsidR="00C35093" w:rsidRPr="00AF3CDF" w:rsidRDefault="00C35093" w:rsidP="00AF3CDF">
      <w:pPr>
        <w:pStyle w:val="ListParagraph"/>
        <w:numPr>
          <w:ilvl w:val="1"/>
          <w:numId w:val="9"/>
        </w:numPr>
        <w:spacing w:after="0"/>
        <w:rPr>
          <w:sz w:val="18"/>
          <w:szCs w:val="18"/>
        </w:rPr>
      </w:pPr>
      <w:r w:rsidRPr="00AF3CDF">
        <w:rPr>
          <w:sz w:val="18"/>
          <w:szCs w:val="18"/>
        </w:rPr>
        <w:t>Recognising the positive contribution people with disability make to society and building confidence to work and engage with people with disability.</w:t>
      </w:r>
    </w:p>
    <w:p w14:paraId="7D3B0A1B" w14:textId="3E6EB69E" w:rsidR="00C35093" w:rsidRDefault="00C35093" w:rsidP="00C35093"/>
    <w:p w14:paraId="6F3700C0" w14:textId="77777777" w:rsidR="00C35093" w:rsidRPr="008B6931" w:rsidRDefault="00C35093" w:rsidP="00C35093">
      <w:pPr>
        <w:rPr>
          <w:sz w:val="20"/>
          <w:szCs w:val="20"/>
        </w:rPr>
      </w:pPr>
      <w:r>
        <w:rPr>
          <w:sz w:val="20"/>
          <w:szCs w:val="20"/>
        </w:rPr>
        <w:t xml:space="preserve">There are also five three-year Targeted Action Plans (TAP) in place. </w:t>
      </w:r>
      <w:r w:rsidRPr="00040E48">
        <w:rPr>
          <w:sz w:val="20"/>
          <w:szCs w:val="20"/>
        </w:rPr>
        <w:t>EPW does not lead any Queensland TAP actions</w:t>
      </w:r>
      <w:r>
        <w:rPr>
          <w:sz w:val="20"/>
          <w:szCs w:val="20"/>
        </w:rPr>
        <w:t>.</w:t>
      </w:r>
    </w:p>
    <w:p w14:paraId="3860A8C3" w14:textId="4462EA72" w:rsidR="00C35093" w:rsidRPr="00F03D3F" w:rsidRDefault="00C35093" w:rsidP="00C35093">
      <w:r w:rsidRPr="00F03D3F">
        <w:rPr>
          <w:b/>
          <w:bCs/>
          <w:sz w:val="24"/>
          <w:szCs w:val="24"/>
        </w:rPr>
        <w:t>Queensland’s Disability Plan 2022-2027: Together, a better Queensland</w:t>
      </w:r>
    </w:p>
    <w:p w14:paraId="22CB0EE3" w14:textId="77777777" w:rsidR="00C35093" w:rsidRPr="0053456A" w:rsidRDefault="00C35093" w:rsidP="00C35093">
      <w:pPr>
        <w:rPr>
          <w:sz w:val="20"/>
          <w:szCs w:val="20"/>
        </w:rPr>
      </w:pPr>
      <w:r w:rsidRPr="0053456A">
        <w:rPr>
          <w:sz w:val="20"/>
          <w:szCs w:val="20"/>
        </w:rPr>
        <w:t>Queensland’s Disability Plan (QDP) is a five-year plan that focuses on inclusion and achieving the best outcomes to have a real impact on the lives of people with disability. The QDP aligns with the ADS.</w:t>
      </w:r>
    </w:p>
    <w:p w14:paraId="6306EDDC" w14:textId="77777777" w:rsidR="00C35093" w:rsidRPr="0053456A" w:rsidRDefault="00C35093" w:rsidP="00C35093">
      <w:pPr>
        <w:rPr>
          <w:sz w:val="20"/>
          <w:szCs w:val="20"/>
        </w:rPr>
      </w:pPr>
      <w:r w:rsidRPr="0053456A">
        <w:rPr>
          <w:sz w:val="20"/>
          <w:szCs w:val="20"/>
        </w:rPr>
        <w:t>The QDP guides the government’s commitment to deliver real action in Queensland and informs departmental disability service plans (DSP). The QDP describes three elements – building blocks, impact areas and the ADS outcome areas:</w:t>
      </w:r>
    </w:p>
    <w:p w14:paraId="1BDFF122" w14:textId="77777777" w:rsidR="00C35093" w:rsidRPr="0053456A" w:rsidRDefault="00C35093" w:rsidP="00C35093">
      <w:pPr>
        <w:pStyle w:val="ListParagraph"/>
        <w:numPr>
          <w:ilvl w:val="0"/>
          <w:numId w:val="5"/>
        </w:numPr>
        <w:spacing w:before="120" w:after="120" w:line="240" w:lineRule="auto"/>
        <w:ind w:left="284" w:hanging="284"/>
        <w:contextualSpacing w:val="0"/>
        <w:rPr>
          <w:sz w:val="20"/>
          <w:szCs w:val="20"/>
          <w:lang w:eastAsia="en-US"/>
        </w:rPr>
      </w:pPr>
      <w:r w:rsidRPr="0053456A">
        <w:rPr>
          <w:b/>
          <w:bCs/>
          <w:sz w:val="20"/>
          <w:szCs w:val="20"/>
        </w:rPr>
        <w:t>Four Building Blocks</w:t>
      </w:r>
      <w:r w:rsidRPr="0053456A">
        <w:rPr>
          <w:sz w:val="20"/>
          <w:szCs w:val="20"/>
        </w:rPr>
        <w:t xml:space="preserve"> which assist in identifying issues and should underpin all departmental disability service plans: co-design, human rights, measurement of outcomes and impacts, cultural and systems change</w:t>
      </w:r>
    </w:p>
    <w:p w14:paraId="79326184" w14:textId="77777777" w:rsidR="00C35093" w:rsidRPr="0053456A" w:rsidRDefault="00C35093" w:rsidP="00C35093">
      <w:pPr>
        <w:pStyle w:val="ListParagraph"/>
        <w:numPr>
          <w:ilvl w:val="0"/>
          <w:numId w:val="5"/>
        </w:numPr>
        <w:spacing w:before="120" w:after="120" w:line="240" w:lineRule="auto"/>
        <w:ind w:left="284" w:hanging="284"/>
        <w:contextualSpacing w:val="0"/>
        <w:rPr>
          <w:sz w:val="20"/>
          <w:szCs w:val="20"/>
          <w:lang w:eastAsia="en-US"/>
        </w:rPr>
      </w:pPr>
      <w:r w:rsidRPr="0053456A">
        <w:rPr>
          <w:b/>
          <w:bCs/>
          <w:sz w:val="20"/>
          <w:szCs w:val="20"/>
        </w:rPr>
        <w:t>Four Impact Areas</w:t>
      </w:r>
      <w:r w:rsidRPr="0053456A">
        <w:rPr>
          <w:sz w:val="20"/>
          <w:szCs w:val="20"/>
        </w:rPr>
        <w:t xml:space="preserve"> which provide a structure for departmental DSP actions and ensure an impact is made throughout the entire organisation: our service users, our people, our </w:t>
      </w:r>
      <w:proofErr w:type="gramStart"/>
      <w:r w:rsidRPr="0053456A">
        <w:rPr>
          <w:sz w:val="20"/>
          <w:szCs w:val="20"/>
        </w:rPr>
        <w:t>places</w:t>
      </w:r>
      <w:proofErr w:type="gramEnd"/>
      <w:r w:rsidRPr="0053456A">
        <w:rPr>
          <w:sz w:val="20"/>
          <w:szCs w:val="20"/>
        </w:rPr>
        <w:t xml:space="preserve"> and our communities</w:t>
      </w:r>
    </w:p>
    <w:p w14:paraId="1CD3FFB0" w14:textId="77777777" w:rsidR="00C35093" w:rsidRPr="0053456A" w:rsidRDefault="00C35093" w:rsidP="00C35093">
      <w:pPr>
        <w:pStyle w:val="ListParagraph"/>
        <w:numPr>
          <w:ilvl w:val="0"/>
          <w:numId w:val="5"/>
        </w:numPr>
        <w:spacing w:before="120" w:after="240" w:line="240" w:lineRule="auto"/>
        <w:ind w:left="284" w:hanging="284"/>
        <w:contextualSpacing w:val="0"/>
        <w:rPr>
          <w:sz w:val="20"/>
          <w:szCs w:val="20"/>
          <w:lang w:eastAsia="en-US"/>
        </w:rPr>
      </w:pPr>
      <w:r w:rsidRPr="0053456A">
        <w:rPr>
          <w:b/>
          <w:bCs/>
          <w:sz w:val="20"/>
          <w:szCs w:val="20"/>
        </w:rPr>
        <w:t>ADS outcome areas</w:t>
      </w:r>
      <w:r w:rsidRPr="0053456A">
        <w:rPr>
          <w:sz w:val="20"/>
          <w:szCs w:val="20"/>
        </w:rPr>
        <w:t xml:space="preserve"> which all DSP actions must align with.</w:t>
      </w:r>
    </w:p>
    <w:p w14:paraId="0C04CACC" w14:textId="77777777" w:rsidR="00C35093" w:rsidRPr="0053456A" w:rsidRDefault="00C35093" w:rsidP="00C35093">
      <w:pPr>
        <w:spacing w:before="120" w:after="240" w:line="240" w:lineRule="auto"/>
        <w:rPr>
          <w:sz w:val="20"/>
          <w:szCs w:val="20"/>
          <w:lang w:eastAsia="en-US"/>
        </w:rPr>
      </w:pPr>
      <w:r w:rsidRPr="0053456A">
        <w:rPr>
          <w:sz w:val="20"/>
          <w:szCs w:val="20"/>
          <w:lang w:eastAsia="en-US"/>
        </w:rPr>
        <w:t xml:space="preserve">Further details about the building blocks and impact areas can be found at </w:t>
      </w:r>
      <w:r w:rsidRPr="0053456A">
        <w:rPr>
          <w:b/>
          <w:bCs/>
          <w:sz w:val="20"/>
          <w:szCs w:val="20"/>
          <w:lang w:eastAsia="en-US"/>
        </w:rPr>
        <w:t>Appendix A</w:t>
      </w:r>
      <w:r w:rsidRPr="0053456A">
        <w:rPr>
          <w:sz w:val="20"/>
          <w:szCs w:val="20"/>
          <w:lang w:eastAsia="en-US"/>
        </w:rPr>
        <w:t>.</w:t>
      </w:r>
    </w:p>
    <w:p w14:paraId="785ECE1F" w14:textId="77777777" w:rsidR="00C35093" w:rsidRPr="00F03D3F" w:rsidRDefault="00C35093" w:rsidP="00C35093">
      <w:pPr>
        <w:rPr>
          <w:b/>
          <w:bCs/>
          <w:sz w:val="24"/>
          <w:szCs w:val="24"/>
        </w:rPr>
      </w:pPr>
      <w:r w:rsidRPr="00F03D3F">
        <w:rPr>
          <w:b/>
          <w:bCs/>
          <w:sz w:val="24"/>
          <w:szCs w:val="24"/>
        </w:rPr>
        <w:lastRenderedPageBreak/>
        <w:t>Disability Service Plans</w:t>
      </w:r>
    </w:p>
    <w:p w14:paraId="681665BC" w14:textId="77777777" w:rsidR="00C35093" w:rsidRPr="0053456A" w:rsidRDefault="00C35093" w:rsidP="00C35093">
      <w:pPr>
        <w:rPr>
          <w:sz w:val="20"/>
          <w:szCs w:val="20"/>
        </w:rPr>
      </w:pPr>
      <w:r w:rsidRPr="0053456A">
        <w:rPr>
          <w:sz w:val="20"/>
          <w:szCs w:val="20"/>
        </w:rPr>
        <w:t xml:space="preserve">Disability Service Plans (DSP) are agency action plans that implement the QDP and ADS and identify department-specific issues relating to service delivery to people with disability, and how the agency will address these. </w:t>
      </w:r>
    </w:p>
    <w:p w14:paraId="3E49BB7B" w14:textId="77777777" w:rsidR="00C35093" w:rsidRPr="0053456A" w:rsidRDefault="00C35093" w:rsidP="00C35093">
      <w:pPr>
        <w:rPr>
          <w:sz w:val="20"/>
          <w:szCs w:val="20"/>
        </w:rPr>
      </w:pPr>
      <w:r w:rsidRPr="0053456A">
        <w:rPr>
          <w:sz w:val="20"/>
          <w:szCs w:val="20"/>
        </w:rPr>
        <w:t xml:space="preserve">Under Queensland’s </w:t>
      </w:r>
      <w:r w:rsidRPr="0053456A">
        <w:rPr>
          <w:i/>
          <w:sz w:val="20"/>
          <w:szCs w:val="20"/>
        </w:rPr>
        <w:t xml:space="preserve">Disability Services Act 2006 </w:t>
      </w:r>
      <w:r w:rsidRPr="0053456A">
        <w:rPr>
          <w:sz w:val="20"/>
          <w:szCs w:val="20"/>
        </w:rPr>
        <w:t xml:space="preserve">(the Act), each Queensland Government department is required to have a DSP. The Act is a foundation for promoting the rights of Queenslanders with disability, increasing wellbeing, and encouraging participation in community life. </w:t>
      </w:r>
    </w:p>
    <w:p w14:paraId="2DAA43E3" w14:textId="77777777" w:rsidR="00C35093" w:rsidRPr="0053456A" w:rsidRDefault="00C35093" w:rsidP="00C35093">
      <w:pPr>
        <w:rPr>
          <w:sz w:val="20"/>
          <w:szCs w:val="20"/>
          <w:lang w:eastAsia="en-US"/>
        </w:rPr>
      </w:pPr>
      <w:r w:rsidRPr="0053456A">
        <w:rPr>
          <w:sz w:val="20"/>
          <w:szCs w:val="20"/>
        </w:rPr>
        <w:t>DSPs must be reviewed and published every three years and reported on annually through progress reports.</w:t>
      </w:r>
    </w:p>
    <w:p w14:paraId="2BE29AC5" w14:textId="77777777" w:rsidR="009204EF" w:rsidRDefault="00C35093" w:rsidP="00C35093">
      <w:pPr>
        <w:rPr>
          <w:sz w:val="20"/>
          <w:szCs w:val="20"/>
        </w:rPr>
        <w:sectPr w:rsidR="009204EF">
          <w:footerReference w:type="default" r:id="rId7"/>
          <w:pgSz w:w="11906" w:h="16838"/>
          <w:pgMar w:top="1440" w:right="1440" w:bottom="1440" w:left="1440" w:header="708" w:footer="708" w:gutter="0"/>
          <w:cols w:space="708"/>
          <w:docGrid w:linePitch="360"/>
        </w:sectPr>
      </w:pPr>
      <w:r w:rsidRPr="0053456A">
        <w:rPr>
          <w:sz w:val="20"/>
          <w:szCs w:val="20"/>
        </w:rPr>
        <w:t xml:space="preserve">EPW’s 2021-22 report is provided at </w:t>
      </w:r>
      <w:r w:rsidRPr="0053456A">
        <w:rPr>
          <w:b/>
          <w:bCs/>
          <w:sz w:val="20"/>
          <w:szCs w:val="20"/>
        </w:rPr>
        <w:t>Appendix B</w:t>
      </w:r>
      <w:r w:rsidRPr="0053456A">
        <w:rPr>
          <w:sz w:val="20"/>
          <w:szCs w:val="20"/>
        </w:rPr>
        <w:t>.</w:t>
      </w:r>
    </w:p>
    <w:p w14:paraId="5C3509F4" w14:textId="77777777" w:rsidR="009204EF" w:rsidRPr="00F03D3F" w:rsidRDefault="009204EF" w:rsidP="009204EF">
      <w:pPr>
        <w:pStyle w:val="Heading1"/>
        <w:ind w:left="431" w:hanging="431"/>
      </w:pPr>
      <w:r w:rsidRPr="00F03D3F">
        <w:lastRenderedPageBreak/>
        <w:t>EPW actions</w:t>
      </w:r>
    </w:p>
    <w:p w14:paraId="79CBC92D" w14:textId="77777777" w:rsidR="009204EF" w:rsidRDefault="009204EF" w:rsidP="009204EF">
      <w:pPr>
        <w:pStyle w:val="Heading2"/>
        <w:numPr>
          <w:ilvl w:val="1"/>
          <w:numId w:val="0"/>
        </w:numPr>
        <w:rPr>
          <w:b/>
          <w:bCs/>
          <w:sz w:val="24"/>
          <w:szCs w:val="24"/>
        </w:rPr>
      </w:pPr>
      <w:r w:rsidRPr="58E9D043">
        <w:rPr>
          <w:b/>
          <w:bCs/>
          <w:sz w:val="24"/>
          <w:szCs w:val="24"/>
        </w:rPr>
        <w:t xml:space="preserve">Our service users </w:t>
      </w:r>
    </w:p>
    <w:p w14:paraId="19F1C700" w14:textId="77777777" w:rsidR="009204EF" w:rsidRPr="009E3CCA" w:rsidRDefault="009204EF" w:rsidP="009204EF">
      <w:pPr>
        <w:pStyle w:val="Heading2"/>
        <w:numPr>
          <w:ilvl w:val="1"/>
          <w:numId w:val="0"/>
        </w:numPr>
        <w:rPr>
          <w:sz w:val="20"/>
          <w:szCs w:val="20"/>
          <w:lang w:val="en-US" w:eastAsia="en-AU"/>
        </w:rPr>
      </w:pPr>
      <w:r w:rsidRPr="009E3CCA">
        <w:rPr>
          <w:sz w:val="20"/>
          <w:szCs w:val="20"/>
        </w:rPr>
        <w:t>EPW services must be inclusive of all people, as well as being safe and of high quality. Services must also provide an excellent, person-centred, user experience. This includes the development and delivery of disability services for First Nations peoples, by First Nations peoples.</w:t>
      </w:r>
    </w:p>
    <w:tbl>
      <w:tblPr>
        <w:tblStyle w:val="DSPGuide-Table"/>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2"/>
        <w:gridCol w:w="1701"/>
        <w:gridCol w:w="1701"/>
        <w:gridCol w:w="1417"/>
        <w:gridCol w:w="1701"/>
      </w:tblGrid>
      <w:tr w:rsidR="009204EF" w:rsidRPr="00FF38D7" w14:paraId="69838D96" w14:textId="77777777" w:rsidTr="00542B60">
        <w:trPr>
          <w:cnfStyle w:val="100000000000" w:firstRow="1" w:lastRow="0" w:firstColumn="0" w:lastColumn="0" w:oddVBand="0" w:evenVBand="0" w:oddHBand="0" w:evenHBand="0" w:firstRowFirstColumn="0" w:firstRowLastColumn="0" w:lastRowFirstColumn="0" w:lastRowLastColumn="0"/>
          <w:trHeight w:val="340"/>
        </w:trPr>
        <w:tc>
          <w:tcPr>
            <w:tcW w:w="988" w:type="dxa"/>
          </w:tcPr>
          <w:p w14:paraId="6B6C0405" w14:textId="77777777" w:rsidR="009204EF" w:rsidRDefault="009204EF" w:rsidP="00B35422">
            <w:pPr>
              <w:pStyle w:val="Tableheader"/>
              <w:ind w:left="0"/>
            </w:pPr>
            <w:r>
              <w:t xml:space="preserve">Action number </w:t>
            </w:r>
          </w:p>
        </w:tc>
        <w:tc>
          <w:tcPr>
            <w:tcW w:w="6662" w:type="dxa"/>
          </w:tcPr>
          <w:p w14:paraId="29E3166C" w14:textId="77777777" w:rsidR="009204EF" w:rsidRDefault="009204EF" w:rsidP="00B35422">
            <w:pPr>
              <w:pStyle w:val="Tableheader"/>
            </w:pPr>
            <w:r>
              <w:t>Action</w:t>
            </w:r>
          </w:p>
        </w:tc>
        <w:tc>
          <w:tcPr>
            <w:tcW w:w="1701" w:type="dxa"/>
          </w:tcPr>
          <w:p w14:paraId="07E00893" w14:textId="77777777" w:rsidR="009204EF" w:rsidRDefault="009204EF" w:rsidP="00B35422">
            <w:pPr>
              <w:pStyle w:val="Tableheader"/>
            </w:pPr>
            <w:r>
              <w:t xml:space="preserve">Performance </w:t>
            </w:r>
            <w:r>
              <w:br/>
              <w:t>indicators*</w:t>
            </w:r>
          </w:p>
        </w:tc>
        <w:tc>
          <w:tcPr>
            <w:tcW w:w="1701" w:type="dxa"/>
          </w:tcPr>
          <w:p w14:paraId="38B5B2FD" w14:textId="77777777" w:rsidR="009204EF" w:rsidRDefault="009204EF" w:rsidP="00B35422">
            <w:pPr>
              <w:pStyle w:val="Tableheader"/>
              <w:jc w:val="both"/>
            </w:pPr>
            <w:r>
              <w:t>Business area</w:t>
            </w:r>
          </w:p>
        </w:tc>
        <w:tc>
          <w:tcPr>
            <w:tcW w:w="1417" w:type="dxa"/>
          </w:tcPr>
          <w:p w14:paraId="2DA0679B" w14:textId="77777777" w:rsidR="009204EF" w:rsidRDefault="009204EF" w:rsidP="00B35422">
            <w:pPr>
              <w:pStyle w:val="Tableheader"/>
            </w:pPr>
            <w:r>
              <w:t>Division</w:t>
            </w:r>
          </w:p>
        </w:tc>
        <w:tc>
          <w:tcPr>
            <w:tcW w:w="1701" w:type="dxa"/>
          </w:tcPr>
          <w:p w14:paraId="7DB37B06" w14:textId="77777777" w:rsidR="009204EF" w:rsidRDefault="009204EF" w:rsidP="00B35422">
            <w:pPr>
              <w:pStyle w:val="Tableheader"/>
            </w:pPr>
            <w:r w:rsidRPr="00C37C6C">
              <w:rPr>
                <w:sz w:val="20"/>
                <w:szCs w:val="20"/>
              </w:rPr>
              <w:t xml:space="preserve">ADS Outcome </w:t>
            </w:r>
            <w:r>
              <w:rPr>
                <w:sz w:val="20"/>
                <w:szCs w:val="20"/>
              </w:rPr>
              <w:t>a</w:t>
            </w:r>
            <w:r w:rsidRPr="00C37C6C">
              <w:rPr>
                <w:sz w:val="20"/>
                <w:szCs w:val="20"/>
              </w:rPr>
              <w:t>reas</w:t>
            </w:r>
          </w:p>
        </w:tc>
      </w:tr>
      <w:tr w:rsidR="009204EF" w:rsidRPr="00D67E15" w14:paraId="0B86177D" w14:textId="77777777" w:rsidTr="00542B60">
        <w:tc>
          <w:tcPr>
            <w:tcW w:w="988" w:type="dxa"/>
          </w:tcPr>
          <w:p w14:paraId="76DBAFCC" w14:textId="77777777" w:rsidR="009204EF" w:rsidRDefault="009204EF" w:rsidP="00B35422">
            <w:pPr>
              <w:pStyle w:val="Tabletext"/>
            </w:pPr>
            <w:r>
              <w:t>SU1</w:t>
            </w:r>
          </w:p>
        </w:tc>
        <w:tc>
          <w:tcPr>
            <w:tcW w:w="6662" w:type="dxa"/>
          </w:tcPr>
          <w:p w14:paraId="64F40C0F" w14:textId="77777777" w:rsidR="009204EF" w:rsidRPr="00D67E15" w:rsidRDefault="009204EF" w:rsidP="00B35422">
            <w:pPr>
              <w:pStyle w:val="Tabletext"/>
            </w:pPr>
            <w:r>
              <w:t xml:space="preserve">Provide vehicles which meet customer or community service needs including sourcing and providing vehicle modifications such as wheelchair ramps, </w:t>
            </w:r>
            <w:proofErr w:type="gramStart"/>
            <w:r>
              <w:t>lifts</w:t>
            </w:r>
            <w:proofErr w:type="gramEnd"/>
            <w:r>
              <w:t xml:space="preserve"> and access to cater for drivers and passengers with disability.</w:t>
            </w:r>
          </w:p>
        </w:tc>
        <w:tc>
          <w:tcPr>
            <w:tcW w:w="1701" w:type="dxa"/>
          </w:tcPr>
          <w:p w14:paraId="017F8B79" w14:textId="77777777" w:rsidR="009204EF" w:rsidRPr="00734084" w:rsidRDefault="009204EF" w:rsidP="00B35422">
            <w:pPr>
              <w:pStyle w:val="Tabletext"/>
              <w:ind w:left="0"/>
            </w:pPr>
            <w:r>
              <w:t>Number of vehicles provided per financial year</w:t>
            </w:r>
          </w:p>
        </w:tc>
        <w:tc>
          <w:tcPr>
            <w:tcW w:w="1701" w:type="dxa"/>
          </w:tcPr>
          <w:p w14:paraId="15164347" w14:textId="77777777" w:rsidR="009204EF" w:rsidRPr="00D67E15" w:rsidRDefault="009204EF" w:rsidP="00B35422">
            <w:pPr>
              <w:pStyle w:val="bullet"/>
              <w:numPr>
                <w:ilvl w:val="0"/>
                <w:numId w:val="0"/>
              </w:numPr>
              <w:rPr>
                <w:sz w:val="19"/>
                <w:szCs w:val="19"/>
              </w:rPr>
            </w:pPr>
            <w:proofErr w:type="spellStart"/>
            <w:r w:rsidRPr="58E9D043">
              <w:rPr>
                <w:sz w:val="19"/>
                <w:szCs w:val="19"/>
              </w:rPr>
              <w:t>QFleet</w:t>
            </w:r>
            <w:proofErr w:type="spellEnd"/>
          </w:p>
        </w:tc>
        <w:tc>
          <w:tcPr>
            <w:tcW w:w="1417" w:type="dxa"/>
          </w:tcPr>
          <w:p w14:paraId="121FB59E" w14:textId="77777777" w:rsidR="009204EF" w:rsidRPr="00D67E15" w:rsidDel="00971097" w:rsidRDefault="009204EF" w:rsidP="00B35422">
            <w:pPr>
              <w:pStyle w:val="bullet"/>
              <w:numPr>
                <w:ilvl w:val="0"/>
                <w:numId w:val="0"/>
              </w:numPr>
              <w:rPr>
                <w:sz w:val="19"/>
                <w:szCs w:val="19"/>
              </w:rPr>
            </w:pPr>
            <w:r w:rsidRPr="58E9D043">
              <w:rPr>
                <w:color w:val="000000" w:themeColor="text1"/>
                <w:sz w:val="19"/>
                <w:szCs w:val="19"/>
              </w:rPr>
              <w:t>Procurement</w:t>
            </w:r>
          </w:p>
        </w:tc>
        <w:tc>
          <w:tcPr>
            <w:tcW w:w="1701" w:type="dxa"/>
          </w:tcPr>
          <w:p w14:paraId="65871D90" w14:textId="26C99130" w:rsidR="009204EF" w:rsidRPr="00542B60" w:rsidRDefault="00542B60" w:rsidP="00B35422">
            <w:pPr>
              <w:pStyle w:val="bullet"/>
              <w:numPr>
                <w:ilvl w:val="0"/>
                <w:numId w:val="0"/>
              </w:numPr>
              <w:rPr>
                <w:sz w:val="19"/>
                <w:szCs w:val="19"/>
                <w:lang w:val="en-US"/>
              </w:rPr>
            </w:pPr>
            <w:r w:rsidRPr="00542B60">
              <w:rPr>
                <w:sz w:val="19"/>
                <w:szCs w:val="19"/>
                <w:lang w:val="en-US"/>
              </w:rPr>
              <w:t>Personal and community</w:t>
            </w:r>
            <w:r w:rsidRPr="00542B60">
              <w:rPr>
                <w:sz w:val="19"/>
                <w:szCs w:val="19"/>
                <w:lang w:val="en-US"/>
              </w:rPr>
              <w:br/>
              <w:t>support</w:t>
            </w:r>
          </w:p>
        </w:tc>
      </w:tr>
      <w:tr w:rsidR="009204EF" w:rsidRPr="00D67E15" w14:paraId="7828D500" w14:textId="77777777" w:rsidTr="00542B60">
        <w:tc>
          <w:tcPr>
            <w:tcW w:w="988" w:type="dxa"/>
          </w:tcPr>
          <w:p w14:paraId="323FBD13" w14:textId="77777777" w:rsidR="009204EF" w:rsidRDefault="009204EF" w:rsidP="00B35422">
            <w:pPr>
              <w:pStyle w:val="Tabletext"/>
            </w:pPr>
            <w:r>
              <w:t>SU2</w:t>
            </w:r>
          </w:p>
        </w:tc>
        <w:tc>
          <w:tcPr>
            <w:tcW w:w="6662" w:type="dxa"/>
          </w:tcPr>
          <w:p w14:paraId="52455140" w14:textId="77777777" w:rsidR="009204EF" w:rsidRPr="00243438" w:rsidRDefault="009204EF" w:rsidP="00B35422">
            <w:pPr>
              <w:pStyle w:val="Tabletext"/>
            </w:pPr>
            <w:r>
              <w:t xml:space="preserve">Promote whole-of-government online training resource </w:t>
            </w:r>
            <w:r w:rsidRPr="58E9D043">
              <w:rPr>
                <w:i/>
                <w:iCs/>
              </w:rPr>
              <w:t>Driving a vehicle safely in the workplace</w:t>
            </w:r>
            <w:r>
              <w:t xml:space="preserve"> (Web Accessibility Guidelines 2.1, Level AA compliant).</w:t>
            </w:r>
          </w:p>
        </w:tc>
        <w:tc>
          <w:tcPr>
            <w:tcW w:w="1701" w:type="dxa"/>
          </w:tcPr>
          <w:p w14:paraId="484AEBCD" w14:textId="77777777" w:rsidR="009204EF" w:rsidRPr="00734084" w:rsidRDefault="009204EF" w:rsidP="00B35422">
            <w:pPr>
              <w:pStyle w:val="Tabletext"/>
              <w:ind w:left="0"/>
            </w:pPr>
            <w:r>
              <w:t>Number of completions per financial year</w:t>
            </w:r>
          </w:p>
        </w:tc>
        <w:tc>
          <w:tcPr>
            <w:tcW w:w="1701" w:type="dxa"/>
          </w:tcPr>
          <w:p w14:paraId="7D44F25B" w14:textId="77777777" w:rsidR="009204EF" w:rsidRPr="00D67E15" w:rsidRDefault="009204EF" w:rsidP="00B35422">
            <w:pPr>
              <w:pStyle w:val="bullet"/>
              <w:numPr>
                <w:ilvl w:val="0"/>
                <w:numId w:val="0"/>
              </w:numPr>
              <w:rPr>
                <w:sz w:val="19"/>
                <w:szCs w:val="19"/>
              </w:rPr>
            </w:pPr>
            <w:proofErr w:type="spellStart"/>
            <w:r w:rsidRPr="58E9D043">
              <w:rPr>
                <w:sz w:val="19"/>
                <w:szCs w:val="19"/>
              </w:rPr>
              <w:t>QFleet</w:t>
            </w:r>
            <w:proofErr w:type="spellEnd"/>
          </w:p>
        </w:tc>
        <w:tc>
          <w:tcPr>
            <w:tcW w:w="1417" w:type="dxa"/>
          </w:tcPr>
          <w:p w14:paraId="591299EC" w14:textId="77777777" w:rsidR="009204EF" w:rsidRPr="00D67E15" w:rsidDel="00971097" w:rsidRDefault="009204EF" w:rsidP="00B35422">
            <w:pPr>
              <w:pStyle w:val="bullet"/>
              <w:numPr>
                <w:ilvl w:val="0"/>
                <w:numId w:val="0"/>
              </w:numPr>
              <w:rPr>
                <w:sz w:val="19"/>
                <w:szCs w:val="19"/>
              </w:rPr>
            </w:pPr>
            <w:r w:rsidRPr="58E9D043">
              <w:rPr>
                <w:color w:val="000000" w:themeColor="text1"/>
                <w:sz w:val="19"/>
                <w:szCs w:val="19"/>
              </w:rPr>
              <w:t>Procurement</w:t>
            </w:r>
          </w:p>
        </w:tc>
        <w:tc>
          <w:tcPr>
            <w:tcW w:w="1701" w:type="dxa"/>
          </w:tcPr>
          <w:p w14:paraId="39A7DF28" w14:textId="042A55D2" w:rsidR="009204EF" w:rsidRPr="00542B60" w:rsidRDefault="00542B60" w:rsidP="00B35422">
            <w:pPr>
              <w:pStyle w:val="bullet"/>
              <w:numPr>
                <w:ilvl w:val="0"/>
                <w:numId w:val="0"/>
              </w:numPr>
              <w:rPr>
                <w:sz w:val="19"/>
                <w:szCs w:val="19"/>
                <w:lang w:val="en-US"/>
              </w:rPr>
            </w:pPr>
            <w:r w:rsidRPr="00542B60">
              <w:rPr>
                <w:sz w:val="19"/>
                <w:szCs w:val="19"/>
                <w:lang w:val="en-US"/>
              </w:rPr>
              <w:t>Education and learning</w:t>
            </w:r>
          </w:p>
        </w:tc>
      </w:tr>
      <w:tr w:rsidR="009204EF" w:rsidRPr="00D67E15" w14:paraId="13AE55A5" w14:textId="77777777" w:rsidTr="00542B60">
        <w:tc>
          <w:tcPr>
            <w:tcW w:w="988" w:type="dxa"/>
          </w:tcPr>
          <w:p w14:paraId="5180482D" w14:textId="77777777" w:rsidR="009204EF" w:rsidRPr="00D67E15" w:rsidRDefault="009204EF" w:rsidP="00B35422">
            <w:pPr>
              <w:pStyle w:val="Tabletext"/>
            </w:pPr>
            <w:r>
              <w:t>SU3</w:t>
            </w:r>
          </w:p>
        </w:tc>
        <w:tc>
          <w:tcPr>
            <w:tcW w:w="6662" w:type="dxa"/>
          </w:tcPr>
          <w:p w14:paraId="415DC4D5" w14:textId="77777777" w:rsidR="009204EF" w:rsidRPr="00D67E15" w:rsidRDefault="009204EF" w:rsidP="00B35422">
            <w:pPr>
              <w:pStyle w:val="Tabletext"/>
            </w:pPr>
            <w:r>
              <w:t>Actively audit suppliers to ensure disability commitments in Best Practice Principles (BPP) project contracts are delivered with proven non-compliance considered for penalties under the Ethical Supply Mandate.</w:t>
            </w:r>
          </w:p>
        </w:tc>
        <w:tc>
          <w:tcPr>
            <w:tcW w:w="1701" w:type="dxa"/>
          </w:tcPr>
          <w:p w14:paraId="4554FB17" w14:textId="77777777" w:rsidR="009204EF" w:rsidRPr="00D67E15" w:rsidRDefault="009204EF" w:rsidP="00B35422">
            <w:pPr>
              <w:pStyle w:val="Tabletext"/>
              <w:ind w:left="0"/>
            </w:pPr>
            <w:r>
              <w:t>Number of audits conducted per financial year</w:t>
            </w:r>
          </w:p>
        </w:tc>
        <w:tc>
          <w:tcPr>
            <w:tcW w:w="1701" w:type="dxa"/>
          </w:tcPr>
          <w:p w14:paraId="683187C8" w14:textId="77777777" w:rsidR="009204EF" w:rsidRPr="00D67E15" w:rsidRDefault="009204EF" w:rsidP="00B35422">
            <w:pPr>
              <w:pStyle w:val="bullet"/>
              <w:numPr>
                <w:ilvl w:val="0"/>
                <w:numId w:val="0"/>
              </w:numPr>
              <w:rPr>
                <w:color w:val="000000"/>
                <w:sz w:val="19"/>
                <w:szCs w:val="19"/>
              </w:rPr>
            </w:pPr>
            <w:r w:rsidRPr="58E9D043">
              <w:rPr>
                <w:color w:val="000000" w:themeColor="text1"/>
                <w:sz w:val="19"/>
                <w:szCs w:val="19"/>
              </w:rPr>
              <w:t>Queensland Government Procurement (QGP) Compliance</w:t>
            </w:r>
          </w:p>
        </w:tc>
        <w:tc>
          <w:tcPr>
            <w:tcW w:w="1417" w:type="dxa"/>
          </w:tcPr>
          <w:p w14:paraId="4F32E91C" w14:textId="77777777" w:rsidR="009204EF" w:rsidRPr="00D67E15" w:rsidDel="00971097" w:rsidRDefault="009204EF" w:rsidP="00B35422">
            <w:pPr>
              <w:pStyle w:val="bullet"/>
              <w:numPr>
                <w:ilvl w:val="0"/>
                <w:numId w:val="0"/>
              </w:numPr>
              <w:rPr>
                <w:color w:val="000000"/>
                <w:sz w:val="19"/>
                <w:szCs w:val="19"/>
              </w:rPr>
            </w:pPr>
            <w:r w:rsidRPr="58E9D043">
              <w:rPr>
                <w:color w:val="000000" w:themeColor="text1"/>
                <w:sz w:val="19"/>
                <w:szCs w:val="19"/>
              </w:rPr>
              <w:t>Procurement</w:t>
            </w:r>
          </w:p>
        </w:tc>
        <w:tc>
          <w:tcPr>
            <w:tcW w:w="1701" w:type="dxa"/>
          </w:tcPr>
          <w:p w14:paraId="6F25AEC3" w14:textId="68768B44" w:rsidR="009204EF" w:rsidRPr="00542B60" w:rsidRDefault="00542B60" w:rsidP="00B35422">
            <w:pPr>
              <w:pStyle w:val="bullet"/>
              <w:numPr>
                <w:ilvl w:val="0"/>
                <w:numId w:val="0"/>
              </w:numPr>
              <w:rPr>
                <w:sz w:val="19"/>
                <w:szCs w:val="19"/>
                <w:lang w:val="en-US"/>
              </w:rPr>
            </w:pPr>
            <w:r w:rsidRPr="00542B60">
              <w:rPr>
                <w:sz w:val="19"/>
                <w:szCs w:val="19"/>
                <w:lang w:val="en-US"/>
              </w:rPr>
              <w:t xml:space="preserve">Safety, </w:t>
            </w:r>
            <w:proofErr w:type="gramStart"/>
            <w:r w:rsidRPr="00542B60">
              <w:rPr>
                <w:sz w:val="19"/>
                <w:szCs w:val="19"/>
                <w:lang w:val="en-US"/>
              </w:rPr>
              <w:t>rights</w:t>
            </w:r>
            <w:proofErr w:type="gramEnd"/>
            <w:r w:rsidRPr="00542B60">
              <w:rPr>
                <w:sz w:val="19"/>
                <w:szCs w:val="19"/>
                <w:lang w:val="en-US"/>
              </w:rPr>
              <w:t xml:space="preserve"> and justice</w:t>
            </w:r>
          </w:p>
        </w:tc>
      </w:tr>
      <w:tr w:rsidR="009204EF" w:rsidRPr="00D67E15" w14:paraId="2E41B161" w14:textId="77777777" w:rsidTr="00542B60">
        <w:tc>
          <w:tcPr>
            <w:tcW w:w="988" w:type="dxa"/>
          </w:tcPr>
          <w:p w14:paraId="22185683" w14:textId="77777777" w:rsidR="009204EF" w:rsidRPr="00D67E15" w:rsidRDefault="009204EF" w:rsidP="00B35422">
            <w:pPr>
              <w:pStyle w:val="Tabletext"/>
            </w:pPr>
            <w:r>
              <w:t>SU4</w:t>
            </w:r>
          </w:p>
        </w:tc>
        <w:tc>
          <w:tcPr>
            <w:tcW w:w="6662" w:type="dxa"/>
          </w:tcPr>
          <w:p w14:paraId="1ABBA294" w14:textId="77777777" w:rsidR="009204EF" w:rsidRPr="00D67E15" w:rsidRDefault="009204EF" w:rsidP="00B35422">
            <w:pPr>
              <w:pStyle w:val="Tabletext"/>
            </w:pPr>
            <w:r>
              <w:t>Provide guidance for investigations into complaints of non-compliance with contractual commitments in relation to disability employment or services (including non-BPP contracts) with proven non-compliance considered for penalties under the Ethical Supply Mandate.</w:t>
            </w:r>
          </w:p>
        </w:tc>
        <w:tc>
          <w:tcPr>
            <w:tcW w:w="1701" w:type="dxa"/>
          </w:tcPr>
          <w:p w14:paraId="2B58CA14" w14:textId="77777777" w:rsidR="009204EF" w:rsidRPr="00D67E15" w:rsidRDefault="009204EF" w:rsidP="00B35422">
            <w:pPr>
              <w:pStyle w:val="Tabletext"/>
              <w:ind w:left="0"/>
            </w:pPr>
            <w:r>
              <w:t>Not applicable</w:t>
            </w:r>
          </w:p>
        </w:tc>
        <w:tc>
          <w:tcPr>
            <w:tcW w:w="1701" w:type="dxa"/>
          </w:tcPr>
          <w:p w14:paraId="084D3198" w14:textId="77777777" w:rsidR="009204EF" w:rsidRPr="00D67E15" w:rsidRDefault="009204EF" w:rsidP="00B35422">
            <w:pPr>
              <w:pStyle w:val="bullet"/>
              <w:numPr>
                <w:ilvl w:val="0"/>
                <w:numId w:val="0"/>
              </w:numPr>
              <w:rPr>
                <w:color w:val="000000"/>
                <w:sz w:val="19"/>
                <w:szCs w:val="19"/>
              </w:rPr>
            </w:pPr>
            <w:r w:rsidRPr="58E9D043">
              <w:rPr>
                <w:color w:val="000000" w:themeColor="text1"/>
                <w:sz w:val="19"/>
                <w:szCs w:val="19"/>
              </w:rPr>
              <w:t>QGP Compliance</w:t>
            </w:r>
          </w:p>
        </w:tc>
        <w:tc>
          <w:tcPr>
            <w:tcW w:w="1417" w:type="dxa"/>
          </w:tcPr>
          <w:p w14:paraId="14743CE8" w14:textId="77777777" w:rsidR="009204EF" w:rsidRPr="00D67E15" w:rsidDel="00971097" w:rsidRDefault="009204EF" w:rsidP="00B35422">
            <w:pPr>
              <w:pStyle w:val="bullet"/>
              <w:numPr>
                <w:ilvl w:val="0"/>
                <w:numId w:val="0"/>
              </w:numPr>
              <w:rPr>
                <w:color w:val="000000"/>
                <w:sz w:val="19"/>
                <w:szCs w:val="19"/>
              </w:rPr>
            </w:pPr>
            <w:r w:rsidRPr="58E9D043">
              <w:rPr>
                <w:color w:val="000000" w:themeColor="text1"/>
                <w:sz w:val="19"/>
                <w:szCs w:val="19"/>
              </w:rPr>
              <w:t>Procurement</w:t>
            </w:r>
          </w:p>
        </w:tc>
        <w:tc>
          <w:tcPr>
            <w:tcW w:w="1701" w:type="dxa"/>
          </w:tcPr>
          <w:p w14:paraId="4A515BF5" w14:textId="74868A5A" w:rsidR="009204EF" w:rsidRPr="00542B60" w:rsidRDefault="00542B60" w:rsidP="00B35422">
            <w:pPr>
              <w:pStyle w:val="bullet"/>
              <w:numPr>
                <w:ilvl w:val="0"/>
                <w:numId w:val="0"/>
              </w:numPr>
              <w:rPr>
                <w:sz w:val="19"/>
                <w:szCs w:val="19"/>
                <w:lang w:val="en-US"/>
              </w:rPr>
            </w:pPr>
            <w:r w:rsidRPr="00542B60">
              <w:rPr>
                <w:sz w:val="19"/>
                <w:szCs w:val="19"/>
                <w:lang w:val="en-US"/>
              </w:rPr>
              <w:t xml:space="preserve">Safety, </w:t>
            </w:r>
            <w:proofErr w:type="gramStart"/>
            <w:r w:rsidRPr="00542B60">
              <w:rPr>
                <w:sz w:val="19"/>
                <w:szCs w:val="19"/>
                <w:lang w:val="en-US"/>
              </w:rPr>
              <w:t>rights</w:t>
            </w:r>
            <w:proofErr w:type="gramEnd"/>
            <w:r w:rsidRPr="00542B60">
              <w:rPr>
                <w:sz w:val="19"/>
                <w:szCs w:val="19"/>
                <w:lang w:val="en-US"/>
              </w:rPr>
              <w:t xml:space="preserve"> and justice</w:t>
            </w:r>
          </w:p>
        </w:tc>
      </w:tr>
      <w:tr w:rsidR="009204EF" w:rsidRPr="00D67E15" w14:paraId="05FA0DA3" w14:textId="77777777" w:rsidTr="00542B60">
        <w:tc>
          <w:tcPr>
            <w:tcW w:w="988" w:type="dxa"/>
          </w:tcPr>
          <w:p w14:paraId="293E94E1" w14:textId="77777777" w:rsidR="009204EF" w:rsidRDefault="009204EF" w:rsidP="00B35422">
            <w:pPr>
              <w:pStyle w:val="Tabletext"/>
            </w:pPr>
            <w:r>
              <w:t>SU5</w:t>
            </w:r>
          </w:p>
        </w:tc>
        <w:tc>
          <w:tcPr>
            <w:tcW w:w="6662" w:type="dxa"/>
          </w:tcPr>
          <w:p w14:paraId="60E24FE2" w14:textId="77777777" w:rsidR="009204EF" w:rsidRDefault="009204EF" w:rsidP="00B35422">
            <w:pPr>
              <w:pStyle w:val="Tabletext"/>
            </w:pPr>
            <w:r>
              <w:t>Consider how suppliers are generating social benefits, including creating employment opportunities for people with disability, in all GGS Invitation to Offer (ITO) and/or Tender processes.</w:t>
            </w:r>
          </w:p>
        </w:tc>
        <w:tc>
          <w:tcPr>
            <w:tcW w:w="1701" w:type="dxa"/>
          </w:tcPr>
          <w:p w14:paraId="651F6A44" w14:textId="77777777" w:rsidR="009204EF" w:rsidRPr="00D67E15" w:rsidDel="00324E53" w:rsidRDefault="009204EF" w:rsidP="00B35422">
            <w:pPr>
              <w:pStyle w:val="Tabletext"/>
              <w:ind w:left="0"/>
            </w:pPr>
            <w:r>
              <w:t>Embedded in ITO and/or tender processes</w:t>
            </w:r>
          </w:p>
        </w:tc>
        <w:tc>
          <w:tcPr>
            <w:tcW w:w="1701" w:type="dxa"/>
          </w:tcPr>
          <w:p w14:paraId="013C9264" w14:textId="77777777" w:rsidR="009204EF" w:rsidRDefault="009204EF" w:rsidP="00B35422">
            <w:pPr>
              <w:pStyle w:val="bullet"/>
              <w:numPr>
                <w:ilvl w:val="0"/>
                <w:numId w:val="0"/>
              </w:numPr>
              <w:rPr>
                <w:color w:val="000000"/>
                <w:sz w:val="19"/>
                <w:szCs w:val="19"/>
              </w:rPr>
            </w:pPr>
            <w:r w:rsidRPr="58E9D043">
              <w:rPr>
                <w:color w:val="000000" w:themeColor="text1"/>
                <w:sz w:val="19"/>
                <w:szCs w:val="19"/>
              </w:rPr>
              <w:t>General Goods &amp; Services (GGS)</w:t>
            </w:r>
          </w:p>
        </w:tc>
        <w:tc>
          <w:tcPr>
            <w:tcW w:w="1417" w:type="dxa"/>
          </w:tcPr>
          <w:p w14:paraId="0BC8B816" w14:textId="77777777" w:rsidR="009204EF" w:rsidRPr="00D67E15" w:rsidDel="00971097" w:rsidRDefault="009204EF" w:rsidP="00B35422">
            <w:pPr>
              <w:pStyle w:val="bullet"/>
              <w:numPr>
                <w:ilvl w:val="0"/>
                <w:numId w:val="0"/>
              </w:numPr>
              <w:rPr>
                <w:color w:val="000000"/>
                <w:sz w:val="19"/>
                <w:szCs w:val="19"/>
              </w:rPr>
            </w:pPr>
            <w:r w:rsidRPr="58E9D043">
              <w:rPr>
                <w:color w:val="000000" w:themeColor="text1"/>
                <w:sz w:val="19"/>
                <w:szCs w:val="19"/>
              </w:rPr>
              <w:t>Procurement</w:t>
            </w:r>
          </w:p>
        </w:tc>
        <w:tc>
          <w:tcPr>
            <w:tcW w:w="1701" w:type="dxa"/>
          </w:tcPr>
          <w:p w14:paraId="2E4AC87C" w14:textId="240D3239" w:rsidR="009204EF" w:rsidRPr="00542B60" w:rsidDel="00971097" w:rsidRDefault="00542B60" w:rsidP="00B35422">
            <w:pPr>
              <w:pStyle w:val="bullet"/>
              <w:numPr>
                <w:ilvl w:val="0"/>
                <w:numId w:val="0"/>
              </w:numPr>
              <w:rPr>
                <w:sz w:val="19"/>
                <w:szCs w:val="19"/>
                <w:lang w:val="en-US"/>
              </w:rPr>
            </w:pPr>
            <w:r w:rsidRPr="00542B60">
              <w:rPr>
                <w:sz w:val="19"/>
                <w:szCs w:val="19"/>
                <w:lang w:val="en-US"/>
              </w:rPr>
              <w:t>Employment and financial security</w:t>
            </w:r>
          </w:p>
        </w:tc>
      </w:tr>
      <w:tr w:rsidR="009204EF" w:rsidRPr="00D67E15" w14:paraId="4C82CDA3" w14:textId="77777777" w:rsidTr="00542B60">
        <w:tc>
          <w:tcPr>
            <w:tcW w:w="988" w:type="dxa"/>
          </w:tcPr>
          <w:p w14:paraId="64E9D41B" w14:textId="77777777" w:rsidR="009204EF" w:rsidRDefault="009204EF" w:rsidP="00B35422">
            <w:pPr>
              <w:pStyle w:val="Tabletext"/>
            </w:pPr>
            <w:r>
              <w:t>SU6</w:t>
            </w:r>
          </w:p>
        </w:tc>
        <w:tc>
          <w:tcPr>
            <w:tcW w:w="6662" w:type="dxa"/>
          </w:tcPr>
          <w:p w14:paraId="797B069B" w14:textId="77777777" w:rsidR="009204EF" w:rsidRDefault="009204EF" w:rsidP="00B35422">
            <w:pPr>
              <w:pStyle w:val="Tabletext"/>
            </w:pPr>
            <w:r>
              <w:t>Promote opportunities within existing GGS whole-of-government arrangements for customers to engage with suppliers who create social benefits for people with disability.</w:t>
            </w:r>
          </w:p>
        </w:tc>
        <w:tc>
          <w:tcPr>
            <w:tcW w:w="1701" w:type="dxa"/>
          </w:tcPr>
          <w:p w14:paraId="7FB954F3" w14:textId="77777777" w:rsidR="009204EF" w:rsidRPr="00D67E15" w:rsidDel="00324E53" w:rsidRDefault="009204EF" w:rsidP="00B35422">
            <w:pPr>
              <w:pStyle w:val="Tabletext"/>
              <w:ind w:left="0"/>
            </w:pPr>
            <w:r>
              <w:t>Not applicable</w:t>
            </w:r>
          </w:p>
        </w:tc>
        <w:tc>
          <w:tcPr>
            <w:tcW w:w="1701" w:type="dxa"/>
          </w:tcPr>
          <w:p w14:paraId="03FCFD2B" w14:textId="77777777" w:rsidR="009204EF" w:rsidRDefault="009204EF" w:rsidP="00B35422">
            <w:pPr>
              <w:pStyle w:val="bullet"/>
              <w:numPr>
                <w:ilvl w:val="0"/>
                <w:numId w:val="0"/>
              </w:numPr>
              <w:rPr>
                <w:color w:val="000000"/>
                <w:sz w:val="19"/>
                <w:szCs w:val="19"/>
              </w:rPr>
            </w:pPr>
            <w:r w:rsidRPr="58E9D043">
              <w:rPr>
                <w:color w:val="000000" w:themeColor="text1"/>
                <w:sz w:val="19"/>
                <w:szCs w:val="19"/>
              </w:rPr>
              <w:t>GGS</w:t>
            </w:r>
          </w:p>
        </w:tc>
        <w:tc>
          <w:tcPr>
            <w:tcW w:w="1417" w:type="dxa"/>
          </w:tcPr>
          <w:p w14:paraId="1B891D16" w14:textId="77777777" w:rsidR="009204EF" w:rsidRPr="00D67E15" w:rsidDel="00971097" w:rsidRDefault="009204EF" w:rsidP="00B35422">
            <w:pPr>
              <w:pStyle w:val="bullet"/>
              <w:numPr>
                <w:ilvl w:val="0"/>
                <w:numId w:val="0"/>
              </w:numPr>
              <w:rPr>
                <w:color w:val="000000"/>
                <w:sz w:val="19"/>
                <w:szCs w:val="19"/>
              </w:rPr>
            </w:pPr>
            <w:r w:rsidRPr="58E9D043">
              <w:rPr>
                <w:color w:val="000000" w:themeColor="text1"/>
                <w:sz w:val="19"/>
                <w:szCs w:val="19"/>
              </w:rPr>
              <w:t>Procurement</w:t>
            </w:r>
          </w:p>
        </w:tc>
        <w:tc>
          <w:tcPr>
            <w:tcW w:w="1701" w:type="dxa"/>
          </w:tcPr>
          <w:p w14:paraId="762D8CE3" w14:textId="2161CDE9" w:rsidR="009204EF" w:rsidRPr="00542B60" w:rsidDel="00971097" w:rsidRDefault="00542B60" w:rsidP="00B35422">
            <w:pPr>
              <w:pStyle w:val="bullet"/>
              <w:numPr>
                <w:ilvl w:val="0"/>
                <w:numId w:val="0"/>
              </w:numPr>
              <w:rPr>
                <w:sz w:val="19"/>
                <w:szCs w:val="19"/>
                <w:lang w:val="en-US"/>
              </w:rPr>
            </w:pPr>
            <w:r w:rsidRPr="00542B60">
              <w:rPr>
                <w:sz w:val="19"/>
                <w:szCs w:val="19"/>
                <w:lang w:val="en-US"/>
              </w:rPr>
              <w:t xml:space="preserve">Community </w:t>
            </w:r>
            <w:r w:rsidRPr="00542B60">
              <w:rPr>
                <w:sz w:val="19"/>
                <w:szCs w:val="19"/>
                <w:lang w:val="en-US"/>
              </w:rPr>
              <w:br/>
              <w:t>attitudes and Education and learning</w:t>
            </w:r>
          </w:p>
        </w:tc>
      </w:tr>
    </w:tbl>
    <w:p w14:paraId="5117B2B7" w14:textId="77777777" w:rsidR="009204EF" w:rsidRDefault="009204EF" w:rsidP="009204EF">
      <w:pPr>
        <w:spacing w:after="0" w:line="240" w:lineRule="auto"/>
        <w:rPr>
          <w:i/>
          <w:iCs/>
          <w:lang w:eastAsia="en-US"/>
        </w:rPr>
      </w:pPr>
      <w:r w:rsidRPr="58E9D043">
        <w:rPr>
          <w:i/>
          <w:iCs/>
        </w:rPr>
        <w:br w:type="page"/>
      </w:r>
    </w:p>
    <w:p w14:paraId="153001C8" w14:textId="77777777" w:rsidR="009204EF" w:rsidRDefault="009204EF" w:rsidP="009204EF">
      <w:pPr>
        <w:pStyle w:val="Heading2"/>
        <w:numPr>
          <w:ilvl w:val="1"/>
          <w:numId w:val="0"/>
        </w:numPr>
        <w:rPr>
          <w:b/>
          <w:bCs/>
          <w:sz w:val="24"/>
          <w:szCs w:val="24"/>
        </w:rPr>
      </w:pPr>
      <w:r w:rsidRPr="58E9D043">
        <w:rPr>
          <w:b/>
          <w:bCs/>
          <w:sz w:val="24"/>
          <w:szCs w:val="24"/>
        </w:rPr>
        <w:lastRenderedPageBreak/>
        <w:t xml:space="preserve">Our people </w:t>
      </w:r>
    </w:p>
    <w:p w14:paraId="6DC10D53" w14:textId="3BAB3CDE" w:rsidR="009204EF" w:rsidRPr="009E3CCA" w:rsidRDefault="009204EF" w:rsidP="009204EF">
      <w:pPr>
        <w:pStyle w:val="Heading2"/>
        <w:numPr>
          <w:ilvl w:val="1"/>
          <w:numId w:val="0"/>
        </w:numPr>
        <w:rPr>
          <w:sz w:val="20"/>
          <w:szCs w:val="20"/>
        </w:rPr>
      </w:pPr>
      <w:r w:rsidRPr="009E3CCA">
        <w:rPr>
          <w:sz w:val="20"/>
          <w:szCs w:val="20"/>
        </w:rPr>
        <w:t xml:space="preserve">EPW recognises the importance and value of social and economic participation by people with disability, inclusive of workplaces and workforces, to build workforce participation of people with disability, and financial security. </w:t>
      </w:r>
    </w:p>
    <w:tbl>
      <w:tblPr>
        <w:tblStyle w:val="DSPGuide-Table"/>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660"/>
        <w:gridCol w:w="1701"/>
        <w:gridCol w:w="1703"/>
        <w:gridCol w:w="1417"/>
        <w:gridCol w:w="1701"/>
      </w:tblGrid>
      <w:tr w:rsidR="009204EF" w:rsidRPr="001E19CE" w14:paraId="6BD1C4C6" w14:textId="77777777" w:rsidTr="00542B60">
        <w:trPr>
          <w:cnfStyle w:val="100000000000" w:firstRow="1" w:lastRow="0" w:firstColumn="0" w:lastColumn="0" w:oddVBand="0" w:evenVBand="0" w:oddHBand="0" w:evenHBand="0" w:firstRowFirstColumn="0" w:firstRowLastColumn="0" w:lastRowFirstColumn="0" w:lastRowLastColumn="0"/>
          <w:trHeight w:val="340"/>
          <w:tblHeader/>
        </w:trPr>
        <w:tc>
          <w:tcPr>
            <w:tcW w:w="349" w:type="pct"/>
          </w:tcPr>
          <w:p w14:paraId="222927C9" w14:textId="77777777" w:rsidR="009204EF" w:rsidRPr="009E3CCA" w:rsidRDefault="009204EF" w:rsidP="00B35422">
            <w:pPr>
              <w:pStyle w:val="Tableheader"/>
              <w:ind w:left="0"/>
            </w:pPr>
            <w:r w:rsidRPr="009E3CCA">
              <w:t xml:space="preserve">Action number </w:t>
            </w:r>
          </w:p>
        </w:tc>
        <w:tc>
          <w:tcPr>
            <w:tcW w:w="2350" w:type="pct"/>
          </w:tcPr>
          <w:p w14:paraId="1FE7FC99" w14:textId="77777777" w:rsidR="009204EF" w:rsidRPr="009E3CCA" w:rsidRDefault="009204EF" w:rsidP="00B35422">
            <w:pPr>
              <w:pStyle w:val="Tableheader"/>
            </w:pPr>
            <w:r w:rsidRPr="009E3CCA">
              <w:t>Action</w:t>
            </w:r>
          </w:p>
        </w:tc>
        <w:tc>
          <w:tcPr>
            <w:tcW w:w="600" w:type="pct"/>
          </w:tcPr>
          <w:p w14:paraId="21D2445D" w14:textId="77777777" w:rsidR="009204EF" w:rsidRPr="009E3CCA" w:rsidRDefault="009204EF" w:rsidP="00B35422">
            <w:pPr>
              <w:pStyle w:val="Tableheader"/>
            </w:pPr>
            <w:r w:rsidRPr="009E3CCA">
              <w:t xml:space="preserve">Performance </w:t>
            </w:r>
            <w:r w:rsidRPr="001E19CE">
              <w:br/>
            </w:r>
            <w:r w:rsidRPr="009E3CCA">
              <w:t>indicators</w:t>
            </w:r>
            <w:r>
              <w:t>*</w:t>
            </w:r>
          </w:p>
        </w:tc>
        <w:tc>
          <w:tcPr>
            <w:tcW w:w="601" w:type="pct"/>
          </w:tcPr>
          <w:p w14:paraId="1A9561E7" w14:textId="77777777" w:rsidR="009204EF" w:rsidRPr="009E3CCA" w:rsidRDefault="009204EF" w:rsidP="00B35422">
            <w:pPr>
              <w:pStyle w:val="Tableheader"/>
              <w:jc w:val="both"/>
            </w:pPr>
            <w:r w:rsidRPr="009E3CCA">
              <w:t>Business area</w:t>
            </w:r>
          </w:p>
        </w:tc>
        <w:tc>
          <w:tcPr>
            <w:tcW w:w="500" w:type="pct"/>
          </w:tcPr>
          <w:p w14:paraId="6FD9A4A5" w14:textId="77777777" w:rsidR="009204EF" w:rsidRPr="009E3CCA" w:rsidRDefault="009204EF" w:rsidP="00B35422">
            <w:pPr>
              <w:pStyle w:val="Tableheader"/>
            </w:pPr>
            <w:r w:rsidRPr="009E3CCA">
              <w:t>Divisions</w:t>
            </w:r>
          </w:p>
        </w:tc>
        <w:tc>
          <w:tcPr>
            <w:tcW w:w="601" w:type="pct"/>
          </w:tcPr>
          <w:p w14:paraId="0B8E43F5" w14:textId="77777777" w:rsidR="009204EF" w:rsidRPr="009E3CCA" w:rsidRDefault="009204EF" w:rsidP="00B35422">
            <w:pPr>
              <w:pStyle w:val="Tableheader"/>
            </w:pPr>
            <w:r w:rsidRPr="009E3CCA">
              <w:t>ADS Outcome areas</w:t>
            </w:r>
          </w:p>
        </w:tc>
      </w:tr>
      <w:tr w:rsidR="009204EF" w:rsidRPr="00F335BA" w14:paraId="54D84B8A" w14:textId="77777777" w:rsidTr="00542B60">
        <w:tc>
          <w:tcPr>
            <w:tcW w:w="349" w:type="pct"/>
          </w:tcPr>
          <w:p w14:paraId="6976D7AA" w14:textId="77777777" w:rsidR="009204EF" w:rsidRPr="009E3CCA" w:rsidRDefault="009204EF" w:rsidP="00B35422">
            <w:pPr>
              <w:pStyle w:val="Tabletext"/>
            </w:pPr>
            <w:r w:rsidRPr="009E3CCA">
              <w:t>PE1</w:t>
            </w:r>
          </w:p>
        </w:tc>
        <w:tc>
          <w:tcPr>
            <w:tcW w:w="2350" w:type="pct"/>
          </w:tcPr>
          <w:p w14:paraId="0F3C78CA" w14:textId="77777777" w:rsidR="009204EF" w:rsidRPr="009E3CCA" w:rsidRDefault="009204EF" w:rsidP="00B35422">
            <w:pPr>
              <w:pStyle w:val="Tabletext"/>
            </w:pPr>
            <w:r w:rsidRPr="009E3CCA">
              <w:t>Ensure engagement and accountability for leaders at all levels to improve Workforce Diversity participation and identification rates relating to Queensland Government target groups including those who identify as living with a disability.</w:t>
            </w:r>
          </w:p>
        </w:tc>
        <w:tc>
          <w:tcPr>
            <w:tcW w:w="600" w:type="pct"/>
          </w:tcPr>
          <w:p w14:paraId="1DF2A3AB" w14:textId="77777777" w:rsidR="009204EF" w:rsidRPr="009E3CCA" w:rsidRDefault="009204EF" w:rsidP="00B35422">
            <w:pPr>
              <w:pStyle w:val="Tabletext"/>
              <w:ind w:left="0"/>
            </w:pPr>
            <w:r w:rsidRPr="009E3CCA">
              <w:t>Improved participation and identification rates</w:t>
            </w:r>
          </w:p>
        </w:tc>
        <w:tc>
          <w:tcPr>
            <w:tcW w:w="601" w:type="pct"/>
          </w:tcPr>
          <w:p w14:paraId="007D9923" w14:textId="77777777" w:rsidR="009204EF" w:rsidRPr="009E3CCA" w:rsidRDefault="009204EF" w:rsidP="00B35422">
            <w:pPr>
              <w:pStyle w:val="bullet"/>
              <w:numPr>
                <w:ilvl w:val="0"/>
                <w:numId w:val="0"/>
              </w:numPr>
              <w:rPr>
                <w:sz w:val="19"/>
                <w:szCs w:val="19"/>
              </w:rPr>
            </w:pPr>
            <w:r w:rsidRPr="009E3CCA">
              <w:rPr>
                <w:sz w:val="19"/>
                <w:szCs w:val="19"/>
              </w:rPr>
              <w:t>Human Resources</w:t>
            </w:r>
          </w:p>
        </w:tc>
        <w:tc>
          <w:tcPr>
            <w:tcW w:w="500" w:type="pct"/>
          </w:tcPr>
          <w:p w14:paraId="6D68882A" w14:textId="77777777" w:rsidR="009204EF" w:rsidRPr="009E3CCA" w:rsidRDefault="009204EF" w:rsidP="00B35422">
            <w:pPr>
              <w:pStyle w:val="bullet"/>
              <w:numPr>
                <w:ilvl w:val="0"/>
                <w:numId w:val="0"/>
              </w:numPr>
              <w:rPr>
                <w:sz w:val="19"/>
                <w:szCs w:val="19"/>
              </w:rPr>
            </w:pPr>
            <w:r w:rsidRPr="009E3CCA">
              <w:rPr>
                <w:sz w:val="19"/>
                <w:szCs w:val="19"/>
              </w:rPr>
              <w:t>Corporate &amp; Portfolio Strategy (CPS)</w:t>
            </w:r>
          </w:p>
        </w:tc>
        <w:tc>
          <w:tcPr>
            <w:tcW w:w="601" w:type="pct"/>
          </w:tcPr>
          <w:p w14:paraId="5E3C92CB" w14:textId="2D8013B5" w:rsidR="009204EF" w:rsidRPr="00542B60" w:rsidRDefault="009204EF" w:rsidP="00B35422">
            <w:pPr>
              <w:pStyle w:val="bullet"/>
              <w:numPr>
                <w:ilvl w:val="0"/>
                <w:numId w:val="0"/>
              </w:numPr>
              <w:rPr>
                <w:sz w:val="19"/>
                <w:szCs w:val="19"/>
                <w:lang w:val="en-US"/>
              </w:rPr>
            </w:pPr>
            <w:r w:rsidRPr="00542B60">
              <w:rPr>
                <w:sz w:val="19"/>
                <w:szCs w:val="19"/>
                <w:lang w:val="en-US"/>
              </w:rPr>
              <w:t>Community and attitudes</w:t>
            </w:r>
          </w:p>
        </w:tc>
      </w:tr>
      <w:tr w:rsidR="009204EF" w:rsidRPr="00F335BA" w14:paraId="7A35EEC0" w14:textId="77777777" w:rsidTr="00542B60">
        <w:tc>
          <w:tcPr>
            <w:tcW w:w="349" w:type="pct"/>
          </w:tcPr>
          <w:p w14:paraId="08D6C627" w14:textId="77777777" w:rsidR="009204EF" w:rsidRPr="009E3CCA" w:rsidRDefault="009204EF" w:rsidP="00B35422">
            <w:pPr>
              <w:pStyle w:val="Tabletext"/>
            </w:pPr>
            <w:r w:rsidRPr="009E3CCA">
              <w:t>PE2</w:t>
            </w:r>
          </w:p>
        </w:tc>
        <w:tc>
          <w:tcPr>
            <w:tcW w:w="2350" w:type="pct"/>
          </w:tcPr>
          <w:p w14:paraId="327C718D" w14:textId="77777777" w:rsidR="009204EF" w:rsidRPr="009E3CCA" w:rsidRDefault="009204EF" w:rsidP="00B35422">
            <w:pPr>
              <w:pStyle w:val="Tabletext"/>
            </w:pPr>
            <w:r w:rsidRPr="009E3CCA">
              <w:t>Implement strategies, including greater engagement at all levels, to improve Working for Queensland (</w:t>
            </w:r>
            <w:proofErr w:type="spellStart"/>
            <w:r w:rsidRPr="009E3CCA">
              <w:t>WfQ</w:t>
            </w:r>
            <w:proofErr w:type="spellEnd"/>
            <w:r w:rsidRPr="009E3CCA">
              <w:t>) survey results.</w:t>
            </w:r>
          </w:p>
        </w:tc>
        <w:tc>
          <w:tcPr>
            <w:tcW w:w="600" w:type="pct"/>
          </w:tcPr>
          <w:p w14:paraId="6B1D0E94" w14:textId="77777777" w:rsidR="009204EF" w:rsidRPr="009E3CCA" w:rsidRDefault="009204EF" w:rsidP="00B35422">
            <w:pPr>
              <w:pStyle w:val="Tabletext"/>
              <w:ind w:left="0"/>
            </w:pPr>
            <w:r w:rsidRPr="009E3CCA">
              <w:t xml:space="preserve">Improved </w:t>
            </w:r>
            <w:proofErr w:type="spellStart"/>
            <w:r w:rsidRPr="009E3CCA">
              <w:t>WfQ</w:t>
            </w:r>
            <w:proofErr w:type="spellEnd"/>
            <w:r w:rsidRPr="009E3CCA">
              <w:t xml:space="preserve"> survey results</w:t>
            </w:r>
          </w:p>
        </w:tc>
        <w:tc>
          <w:tcPr>
            <w:tcW w:w="601" w:type="pct"/>
          </w:tcPr>
          <w:p w14:paraId="54C5343B" w14:textId="77777777" w:rsidR="009204EF" w:rsidRPr="009E3CCA" w:rsidRDefault="009204EF" w:rsidP="00B35422">
            <w:pPr>
              <w:pStyle w:val="bullet"/>
              <w:numPr>
                <w:ilvl w:val="0"/>
                <w:numId w:val="0"/>
              </w:numPr>
              <w:rPr>
                <w:sz w:val="19"/>
                <w:szCs w:val="19"/>
              </w:rPr>
            </w:pPr>
            <w:r w:rsidRPr="009E3CCA">
              <w:rPr>
                <w:sz w:val="19"/>
                <w:szCs w:val="19"/>
              </w:rPr>
              <w:t>Human Resources</w:t>
            </w:r>
          </w:p>
        </w:tc>
        <w:tc>
          <w:tcPr>
            <w:tcW w:w="500" w:type="pct"/>
          </w:tcPr>
          <w:p w14:paraId="2C71AE00" w14:textId="77777777" w:rsidR="009204EF" w:rsidRPr="009E3CCA" w:rsidRDefault="009204EF" w:rsidP="00B35422">
            <w:pPr>
              <w:pStyle w:val="bullet"/>
              <w:numPr>
                <w:ilvl w:val="0"/>
                <w:numId w:val="0"/>
              </w:numPr>
              <w:rPr>
                <w:sz w:val="19"/>
                <w:szCs w:val="19"/>
              </w:rPr>
            </w:pPr>
            <w:r w:rsidRPr="009E3CCA">
              <w:rPr>
                <w:sz w:val="19"/>
                <w:szCs w:val="19"/>
              </w:rPr>
              <w:t>CPS</w:t>
            </w:r>
          </w:p>
        </w:tc>
        <w:tc>
          <w:tcPr>
            <w:tcW w:w="601" w:type="pct"/>
          </w:tcPr>
          <w:p w14:paraId="54F04AAA" w14:textId="77777777" w:rsidR="009204EF" w:rsidRPr="00542B60" w:rsidRDefault="009204EF" w:rsidP="00B35422">
            <w:pPr>
              <w:pStyle w:val="bullet"/>
              <w:numPr>
                <w:ilvl w:val="0"/>
                <w:numId w:val="0"/>
              </w:numPr>
              <w:rPr>
                <w:sz w:val="19"/>
                <w:szCs w:val="19"/>
                <w:lang w:val="en-US"/>
              </w:rPr>
            </w:pPr>
            <w:r w:rsidRPr="00542B60">
              <w:rPr>
                <w:sz w:val="19"/>
                <w:szCs w:val="19"/>
                <w:lang w:val="en-US"/>
              </w:rPr>
              <w:t xml:space="preserve">Community and attitudes </w:t>
            </w:r>
          </w:p>
          <w:p w14:paraId="0C67BEE8" w14:textId="77777777" w:rsidR="009204EF" w:rsidRPr="00542B60" w:rsidRDefault="009204EF" w:rsidP="00B35422">
            <w:pPr>
              <w:pStyle w:val="bullet"/>
              <w:numPr>
                <w:ilvl w:val="0"/>
                <w:numId w:val="0"/>
              </w:numPr>
              <w:rPr>
                <w:sz w:val="19"/>
                <w:szCs w:val="19"/>
                <w:lang w:val="en-US"/>
              </w:rPr>
            </w:pPr>
            <w:r w:rsidRPr="00542B60">
              <w:rPr>
                <w:sz w:val="19"/>
                <w:szCs w:val="19"/>
                <w:lang w:val="en-US"/>
              </w:rPr>
              <w:t xml:space="preserve">And </w:t>
            </w:r>
          </w:p>
          <w:p w14:paraId="202D056D" w14:textId="2D09F1DE" w:rsidR="009204EF" w:rsidRPr="00542B60" w:rsidRDefault="009204EF" w:rsidP="00B35422">
            <w:pPr>
              <w:pStyle w:val="bullet"/>
              <w:numPr>
                <w:ilvl w:val="0"/>
                <w:numId w:val="0"/>
              </w:numPr>
              <w:rPr>
                <w:sz w:val="19"/>
                <w:szCs w:val="19"/>
                <w:lang w:val="en-US"/>
              </w:rPr>
            </w:pPr>
            <w:r w:rsidRPr="00542B60">
              <w:rPr>
                <w:sz w:val="19"/>
                <w:szCs w:val="19"/>
                <w:lang w:val="en-US"/>
              </w:rPr>
              <w:t>Heatlh and Wellbeing</w:t>
            </w:r>
          </w:p>
        </w:tc>
      </w:tr>
      <w:tr w:rsidR="009204EF" w:rsidRPr="00F335BA" w14:paraId="5F70BE37" w14:textId="77777777" w:rsidTr="00542B60">
        <w:tc>
          <w:tcPr>
            <w:tcW w:w="349" w:type="pct"/>
          </w:tcPr>
          <w:p w14:paraId="021538E2" w14:textId="77777777" w:rsidR="009204EF" w:rsidRPr="009E3CCA" w:rsidRDefault="009204EF" w:rsidP="00B35422">
            <w:pPr>
              <w:pStyle w:val="Tabletext"/>
            </w:pPr>
            <w:r w:rsidRPr="009E3CCA">
              <w:t>PE3</w:t>
            </w:r>
          </w:p>
        </w:tc>
        <w:tc>
          <w:tcPr>
            <w:tcW w:w="2350" w:type="pct"/>
          </w:tcPr>
          <w:p w14:paraId="0333F6C5" w14:textId="77777777" w:rsidR="009204EF" w:rsidRPr="009E3CCA" w:rsidRDefault="009204EF" w:rsidP="00B35422">
            <w:pPr>
              <w:pStyle w:val="Tabletext"/>
            </w:pPr>
            <w:r w:rsidRPr="009E3CCA">
              <w:t xml:space="preserve">Improve disability knowledge and capability </w:t>
            </w:r>
            <w:r>
              <w:t xml:space="preserve">of staff </w:t>
            </w:r>
            <w:r w:rsidRPr="009E3CCA">
              <w:t>through awareness activities including:</w:t>
            </w:r>
          </w:p>
          <w:p w14:paraId="7B8E8DAD" w14:textId="77777777" w:rsidR="009204EF" w:rsidRPr="009E3CCA" w:rsidRDefault="009204EF" w:rsidP="009204EF">
            <w:pPr>
              <w:pStyle w:val="Tabletext"/>
              <w:numPr>
                <w:ilvl w:val="0"/>
                <w:numId w:val="3"/>
              </w:numPr>
            </w:pPr>
            <w:r w:rsidRPr="009E3CCA">
              <w:t>Queensland Disability Week promotion</w:t>
            </w:r>
          </w:p>
          <w:p w14:paraId="26DE19D5" w14:textId="77777777" w:rsidR="009204EF" w:rsidRPr="009E3CCA" w:rsidRDefault="009204EF" w:rsidP="009204EF">
            <w:pPr>
              <w:pStyle w:val="Tabletext"/>
              <w:numPr>
                <w:ilvl w:val="0"/>
                <w:numId w:val="3"/>
              </w:numPr>
            </w:pPr>
            <w:r w:rsidRPr="009E3CCA">
              <w:t xml:space="preserve">Promote resources to support </w:t>
            </w:r>
            <w:r w:rsidRPr="009E3CCA">
              <w:rPr>
                <w:i/>
                <w:iCs/>
              </w:rPr>
              <w:t xml:space="preserve">Inclusion at work </w:t>
            </w:r>
            <w:r w:rsidRPr="009E3CCA">
              <w:t>conversations and improve disability awareness and capability</w:t>
            </w:r>
          </w:p>
          <w:p w14:paraId="3191D99F" w14:textId="77777777" w:rsidR="009204EF" w:rsidRPr="009E3CCA" w:rsidRDefault="009204EF" w:rsidP="009204EF">
            <w:pPr>
              <w:pStyle w:val="Tabletext"/>
              <w:numPr>
                <w:ilvl w:val="0"/>
                <w:numId w:val="3"/>
              </w:numPr>
            </w:pPr>
            <w:r w:rsidRPr="009E3CCA">
              <w:t>Explore targeted strategies and options to improve employee engagement</w:t>
            </w:r>
          </w:p>
          <w:p w14:paraId="4356690D" w14:textId="77777777" w:rsidR="009204EF" w:rsidRPr="009E3CCA" w:rsidRDefault="009204EF" w:rsidP="009204EF">
            <w:pPr>
              <w:pStyle w:val="Tabletext"/>
              <w:numPr>
                <w:ilvl w:val="0"/>
                <w:numId w:val="3"/>
              </w:numPr>
            </w:pPr>
            <w:r w:rsidRPr="009E3CCA">
              <w:t>Create a monthly disability awareness program (via EPW intranet) for one year aligned to a calendar of disability awareness days (commencing Feb 2023).</w:t>
            </w:r>
          </w:p>
        </w:tc>
        <w:tc>
          <w:tcPr>
            <w:tcW w:w="600" w:type="pct"/>
          </w:tcPr>
          <w:p w14:paraId="6508EBB7" w14:textId="77777777" w:rsidR="009204EF" w:rsidRPr="009E3CCA" w:rsidRDefault="009204EF" w:rsidP="00B35422">
            <w:pPr>
              <w:pStyle w:val="Tabletext"/>
              <w:ind w:left="0"/>
            </w:pPr>
            <w:r w:rsidRPr="009E3CCA">
              <w:t>Improved survey results</w:t>
            </w:r>
          </w:p>
          <w:p w14:paraId="2247BD13" w14:textId="77777777" w:rsidR="009204EF" w:rsidRPr="009E3CCA" w:rsidRDefault="009204EF" w:rsidP="00B35422">
            <w:pPr>
              <w:pStyle w:val="Tabletext"/>
              <w:ind w:left="0"/>
            </w:pPr>
            <w:r w:rsidRPr="009E3CCA">
              <w:t>Improved survey response rates</w:t>
            </w:r>
          </w:p>
          <w:p w14:paraId="352D4377" w14:textId="77777777" w:rsidR="009204EF" w:rsidRPr="009E3CCA" w:rsidRDefault="009204EF" w:rsidP="00B35422">
            <w:pPr>
              <w:pStyle w:val="Tabletext"/>
              <w:ind w:left="0"/>
            </w:pPr>
            <w:r w:rsidRPr="009E3CCA">
              <w:t>Improved website metrics</w:t>
            </w:r>
          </w:p>
        </w:tc>
        <w:tc>
          <w:tcPr>
            <w:tcW w:w="601" w:type="pct"/>
          </w:tcPr>
          <w:p w14:paraId="24820399" w14:textId="77777777" w:rsidR="009204EF" w:rsidRPr="009E3CCA" w:rsidRDefault="009204EF" w:rsidP="00B35422">
            <w:pPr>
              <w:pStyle w:val="bullet"/>
              <w:numPr>
                <w:ilvl w:val="0"/>
                <w:numId w:val="0"/>
              </w:numPr>
              <w:rPr>
                <w:sz w:val="19"/>
                <w:szCs w:val="19"/>
              </w:rPr>
            </w:pPr>
            <w:r w:rsidRPr="009E3CCA">
              <w:rPr>
                <w:sz w:val="19"/>
                <w:szCs w:val="19"/>
              </w:rPr>
              <w:t>Human Resources</w:t>
            </w:r>
          </w:p>
          <w:p w14:paraId="2AD0D67B" w14:textId="77777777" w:rsidR="009204EF" w:rsidRPr="009E3CCA" w:rsidRDefault="009204EF" w:rsidP="00B35422">
            <w:pPr>
              <w:pStyle w:val="bullet"/>
              <w:numPr>
                <w:ilvl w:val="0"/>
                <w:numId w:val="0"/>
              </w:numPr>
              <w:rPr>
                <w:sz w:val="19"/>
                <w:szCs w:val="19"/>
              </w:rPr>
            </w:pPr>
            <w:r w:rsidRPr="009E3CCA">
              <w:rPr>
                <w:sz w:val="19"/>
                <w:szCs w:val="19"/>
              </w:rPr>
              <w:t>Communication</w:t>
            </w:r>
          </w:p>
        </w:tc>
        <w:tc>
          <w:tcPr>
            <w:tcW w:w="500" w:type="pct"/>
          </w:tcPr>
          <w:p w14:paraId="28C0F49E" w14:textId="77777777" w:rsidR="009204EF" w:rsidRPr="009E3CCA" w:rsidRDefault="009204EF" w:rsidP="00B35422">
            <w:pPr>
              <w:pStyle w:val="bullet"/>
              <w:numPr>
                <w:ilvl w:val="0"/>
                <w:numId w:val="0"/>
              </w:numPr>
              <w:rPr>
                <w:sz w:val="19"/>
                <w:szCs w:val="19"/>
              </w:rPr>
            </w:pPr>
            <w:r w:rsidRPr="009E3CCA">
              <w:rPr>
                <w:sz w:val="19"/>
                <w:szCs w:val="19"/>
              </w:rPr>
              <w:t>CPS</w:t>
            </w:r>
          </w:p>
        </w:tc>
        <w:tc>
          <w:tcPr>
            <w:tcW w:w="601" w:type="pct"/>
          </w:tcPr>
          <w:p w14:paraId="0D751344" w14:textId="4B12A06F" w:rsidR="009204EF" w:rsidRPr="00542B60" w:rsidRDefault="009204EF" w:rsidP="00B35422">
            <w:pPr>
              <w:pStyle w:val="bullet"/>
              <w:numPr>
                <w:ilvl w:val="0"/>
                <w:numId w:val="0"/>
              </w:numPr>
              <w:rPr>
                <w:sz w:val="19"/>
                <w:szCs w:val="19"/>
                <w:lang w:val="en-US"/>
              </w:rPr>
            </w:pPr>
            <w:r w:rsidRPr="00542B60">
              <w:rPr>
                <w:sz w:val="19"/>
                <w:szCs w:val="19"/>
                <w:lang w:val="en-US"/>
              </w:rPr>
              <w:t>Community and attitudes</w:t>
            </w:r>
          </w:p>
        </w:tc>
      </w:tr>
      <w:tr w:rsidR="009204EF" w:rsidRPr="00F335BA" w14:paraId="3BE9C57F" w14:textId="77777777" w:rsidTr="00542B60">
        <w:tc>
          <w:tcPr>
            <w:tcW w:w="349" w:type="pct"/>
          </w:tcPr>
          <w:p w14:paraId="033E2BC3" w14:textId="77777777" w:rsidR="009204EF" w:rsidRPr="009E3CCA" w:rsidRDefault="009204EF" w:rsidP="00B35422">
            <w:pPr>
              <w:pStyle w:val="Tabletext"/>
            </w:pPr>
            <w:r w:rsidRPr="009E3CCA">
              <w:t>PE4</w:t>
            </w:r>
          </w:p>
        </w:tc>
        <w:tc>
          <w:tcPr>
            <w:tcW w:w="2350" w:type="pct"/>
          </w:tcPr>
          <w:p w14:paraId="03217AE9" w14:textId="77777777" w:rsidR="009204EF" w:rsidRPr="009E3CCA" w:rsidRDefault="009204EF" w:rsidP="00B35422">
            <w:pPr>
              <w:pStyle w:val="Tabletext"/>
            </w:pPr>
            <w:r w:rsidRPr="009E3CCA">
              <w:t>Improve disability training opportunities:</w:t>
            </w:r>
          </w:p>
          <w:p w14:paraId="3674F06C" w14:textId="77777777" w:rsidR="009204EF" w:rsidRPr="00F335BA" w:rsidRDefault="009204EF" w:rsidP="009204EF">
            <w:pPr>
              <w:pStyle w:val="Tabletext"/>
              <w:numPr>
                <w:ilvl w:val="0"/>
                <w:numId w:val="4"/>
              </w:numPr>
            </w:pPr>
            <w:r w:rsidRPr="00F335BA">
              <w:t>Source disability inclusion training (online / face-to-face) and resources for managers and team leaders</w:t>
            </w:r>
          </w:p>
          <w:p w14:paraId="3F383D6A" w14:textId="77777777" w:rsidR="009204EF" w:rsidRPr="009E3CCA" w:rsidRDefault="009204EF" w:rsidP="009204EF">
            <w:pPr>
              <w:pStyle w:val="Tabletext"/>
              <w:numPr>
                <w:ilvl w:val="0"/>
                <w:numId w:val="4"/>
              </w:numPr>
            </w:pPr>
            <w:r w:rsidRPr="00F335BA">
              <w:t xml:space="preserve">Source reasonable adjustment and </w:t>
            </w:r>
            <w:r>
              <w:t>u</w:t>
            </w:r>
            <w:r w:rsidRPr="00F335BA">
              <w:t>nconscious bias training for all staff</w:t>
            </w:r>
            <w:r>
              <w:t>.</w:t>
            </w:r>
          </w:p>
        </w:tc>
        <w:tc>
          <w:tcPr>
            <w:tcW w:w="600" w:type="pct"/>
          </w:tcPr>
          <w:p w14:paraId="6B98EA11" w14:textId="77777777" w:rsidR="009204EF" w:rsidRPr="009E3CCA" w:rsidRDefault="009204EF" w:rsidP="00B35422">
            <w:pPr>
              <w:pStyle w:val="Tabletext"/>
              <w:ind w:left="0"/>
            </w:pPr>
            <w:r w:rsidRPr="009E3CCA">
              <w:t>Training completion rates</w:t>
            </w:r>
          </w:p>
        </w:tc>
        <w:tc>
          <w:tcPr>
            <w:tcW w:w="601" w:type="pct"/>
          </w:tcPr>
          <w:p w14:paraId="645870DB" w14:textId="77777777" w:rsidR="009204EF" w:rsidRPr="009E3CCA" w:rsidRDefault="009204EF" w:rsidP="00B35422">
            <w:pPr>
              <w:pStyle w:val="bullet"/>
              <w:numPr>
                <w:ilvl w:val="0"/>
                <w:numId w:val="0"/>
              </w:numPr>
              <w:rPr>
                <w:sz w:val="19"/>
                <w:szCs w:val="19"/>
              </w:rPr>
            </w:pPr>
            <w:r w:rsidRPr="009E3CCA">
              <w:rPr>
                <w:sz w:val="19"/>
                <w:szCs w:val="19"/>
              </w:rPr>
              <w:t>Human Resources</w:t>
            </w:r>
          </w:p>
        </w:tc>
        <w:tc>
          <w:tcPr>
            <w:tcW w:w="500" w:type="pct"/>
          </w:tcPr>
          <w:p w14:paraId="2FEE63F1" w14:textId="77777777" w:rsidR="009204EF" w:rsidRPr="009E3CCA" w:rsidRDefault="009204EF" w:rsidP="00B35422">
            <w:pPr>
              <w:pStyle w:val="bullet"/>
              <w:numPr>
                <w:ilvl w:val="0"/>
                <w:numId w:val="0"/>
              </w:numPr>
              <w:rPr>
                <w:sz w:val="19"/>
                <w:szCs w:val="19"/>
              </w:rPr>
            </w:pPr>
            <w:r w:rsidRPr="009E3CCA">
              <w:rPr>
                <w:sz w:val="19"/>
                <w:szCs w:val="19"/>
              </w:rPr>
              <w:t>CPS</w:t>
            </w:r>
          </w:p>
        </w:tc>
        <w:tc>
          <w:tcPr>
            <w:tcW w:w="601" w:type="pct"/>
          </w:tcPr>
          <w:p w14:paraId="677CDAFB" w14:textId="586C3660" w:rsidR="009204EF" w:rsidRPr="00542B60" w:rsidRDefault="009204EF" w:rsidP="00B35422">
            <w:pPr>
              <w:pStyle w:val="bullet"/>
              <w:numPr>
                <w:ilvl w:val="0"/>
                <w:numId w:val="0"/>
              </w:numPr>
              <w:rPr>
                <w:sz w:val="19"/>
                <w:szCs w:val="19"/>
                <w:lang w:val="en-US"/>
              </w:rPr>
            </w:pPr>
            <w:r w:rsidRPr="00542B60">
              <w:rPr>
                <w:sz w:val="19"/>
                <w:szCs w:val="19"/>
                <w:lang w:val="en-US"/>
              </w:rPr>
              <w:t>Community and attitudes</w:t>
            </w:r>
          </w:p>
        </w:tc>
      </w:tr>
      <w:tr w:rsidR="009204EF" w:rsidRPr="00F335BA" w14:paraId="69963C5F" w14:textId="77777777" w:rsidTr="00542B60">
        <w:tc>
          <w:tcPr>
            <w:tcW w:w="349" w:type="pct"/>
          </w:tcPr>
          <w:p w14:paraId="124A6BB6" w14:textId="77777777" w:rsidR="009204EF" w:rsidRPr="009E3CCA" w:rsidRDefault="009204EF" w:rsidP="00B35422">
            <w:pPr>
              <w:pStyle w:val="Tabletext"/>
            </w:pPr>
            <w:r w:rsidRPr="009E3CCA">
              <w:t>PE5</w:t>
            </w:r>
          </w:p>
        </w:tc>
        <w:tc>
          <w:tcPr>
            <w:tcW w:w="2350" w:type="pct"/>
          </w:tcPr>
          <w:p w14:paraId="4C12DF09" w14:textId="77777777" w:rsidR="009204EF" w:rsidRPr="009E3CCA" w:rsidRDefault="009204EF" w:rsidP="00B35422">
            <w:pPr>
              <w:pStyle w:val="Tabletext"/>
            </w:pPr>
            <w:r w:rsidRPr="009E3CCA">
              <w:t xml:space="preserve">Support EPW Disability </w:t>
            </w:r>
            <w:proofErr w:type="gramStart"/>
            <w:r w:rsidRPr="009E3CCA">
              <w:t>Champion, and</w:t>
            </w:r>
            <w:proofErr w:type="gramEnd"/>
            <w:r w:rsidRPr="009E3CCA">
              <w:t xml:space="preserve"> identify metro and regional QBuild office Disability Champions and support champions to raise awareness</w:t>
            </w:r>
            <w:r>
              <w:t>.</w:t>
            </w:r>
          </w:p>
        </w:tc>
        <w:tc>
          <w:tcPr>
            <w:tcW w:w="600" w:type="pct"/>
          </w:tcPr>
          <w:p w14:paraId="0B0345C6" w14:textId="77777777" w:rsidR="009204EF" w:rsidRPr="009E3CCA" w:rsidRDefault="009204EF" w:rsidP="00B35422">
            <w:pPr>
              <w:pStyle w:val="Tabletext"/>
              <w:ind w:left="0"/>
            </w:pPr>
            <w:r w:rsidRPr="009E3CCA">
              <w:t>Champion/s identified</w:t>
            </w:r>
            <w:r w:rsidRPr="00F335BA">
              <w:br/>
            </w:r>
            <w:r w:rsidRPr="009E3CCA" w:rsidDel="00CF77A9">
              <w:t xml:space="preserve"> </w:t>
            </w:r>
          </w:p>
        </w:tc>
        <w:tc>
          <w:tcPr>
            <w:tcW w:w="601" w:type="pct"/>
          </w:tcPr>
          <w:p w14:paraId="179866D1" w14:textId="77777777" w:rsidR="009204EF" w:rsidRPr="009E3CCA" w:rsidRDefault="009204EF" w:rsidP="00B35422">
            <w:pPr>
              <w:pStyle w:val="bullet"/>
              <w:numPr>
                <w:ilvl w:val="0"/>
                <w:numId w:val="0"/>
              </w:numPr>
              <w:rPr>
                <w:color w:val="000000"/>
                <w:sz w:val="19"/>
                <w:szCs w:val="19"/>
              </w:rPr>
            </w:pPr>
            <w:r w:rsidRPr="009E3CCA">
              <w:rPr>
                <w:color w:val="000000" w:themeColor="text1"/>
                <w:sz w:val="19"/>
                <w:szCs w:val="19"/>
              </w:rPr>
              <w:t>Human Resources</w:t>
            </w:r>
          </w:p>
          <w:p w14:paraId="4CAD2802" w14:textId="77777777" w:rsidR="009204EF" w:rsidRPr="009E3CCA" w:rsidRDefault="009204EF" w:rsidP="00B35422">
            <w:pPr>
              <w:pStyle w:val="bullet"/>
              <w:numPr>
                <w:ilvl w:val="0"/>
                <w:numId w:val="0"/>
              </w:numPr>
              <w:rPr>
                <w:color w:val="000000"/>
                <w:sz w:val="19"/>
                <w:szCs w:val="19"/>
              </w:rPr>
            </w:pPr>
            <w:r w:rsidRPr="009E3CCA">
              <w:rPr>
                <w:color w:val="000000" w:themeColor="text1"/>
                <w:sz w:val="19"/>
                <w:szCs w:val="19"/>
              </w:rPr>
              <w:t>(</w:t>
            </w:r>
            <w:proofErr w:type="gramStart"/>
            <w:r w:rsidRPr="009E3CCA">
              <w:rPr>
                <w:color w:val="000000" w:themeColor="text1"/>
                <w:sz w:val="19"/>
                <w:szCs w:val="19"/>
              </w:rPr>
              <w:t>supported</w:t>
            </w:r>
            <w:proofErr w:type="gramEnd"/>
            <w:r w:rsidRPr="009E3CCA">
              <w:rPr>
                <w:color w:val="000000" w:themeColor="text1"/>
                <w:sz w:val="19"/>
                <w:szCs w:val="19"/>
              </w:rPr>
              <w:t xml:space="preserve"> by QBuild)</w:t>
            </w:r>
          </w:p>
        </w:tc>
        <w:tc>
          <w:tcPr>
            <w:tcW w:w="500" w:type="pct"/>
          </w:tcPr>
          <w:p w14:paraId="29E4A487" w14:textId="77777777" w:rsidR="009204EF" w:rsidRPr="009E3CCA" w:rsidRDefault="009204EF" w:rsidP="00B35422">
            <w:pPr>
              <w:pStyle w:val="bullet"/>
              <w:numPr>
                <w:ilvl w:val="0"/>
                <w:numId w:val="0"/>
              </w:numPr>
              <w:rPr>
                <w:sz w:val="19"/>
                <w:szCs w:val="19"/>
              </w:rPr>
            </w:pPr>
            <w:r w:rsidRPr="009E3CCA">
              <w:rPr>
                <w:sz w:val="19"/>
                <w:szCs w:val="19"/>
              </w:rPr>
              <w:t>CPS</w:t>
            </w:r>
          </w:p>
        </w:tc>
        <w:tc>
          <w:tcPr>
            <w:tcW w:w="601" w:type="pct"/>
          </w:tcPr>
          <w:p w14:paraId="438893AD" w14:textId="18A71D38" w:rsidR="009204EF" w:rsidRPr="00542B60" w:rsidRDefault="009204EF" w:rsidP="00B35422">
            <w:pPr>
              <w:pStyle w:val="bullet"/>
              <w:numPr>
                <w:ilvl w:val="0"/>
                <w:numId w:val="0"/>
              </w:numPr>
              <w:rPr>
                <w:sz w:val="19"/>
                <w:szCs w:val="19"/>
                <w:lang w:val="en-US"/>
              </w:rPr>
            </w:pPr>
            <w:r w:rsidRPr="00542B60">
              <w:rPr>
                <w:sz w:val="19"/>
                <w:szCs w:val="19"/>
                <w:lang w:val="en-US"/>
              </w:rPr>
              <w:t>Community and attitudes</w:t>
            </w:r>
          </w:p>
        </w:tc>
      </w:tr>
      <w:tr w:rsidR="009204EF" w:rsidRPr="00F335BA" w14:paraId="5B5BA1C5" w14:textId="77777777" w:rsidTr="00542B60">
        <w:tc>
          <w:tcPr>
            <w:tcW w:w="349" w:type="pct"/>
          </w:tcPr>
          <w:p w14:paraId="4396F143" w14:textId="77777777" w:rsidR="009204EF" w:rsidRPr="009E3CCA" w:rsidRDefault="009204EF" w:rsidP="00B35422">
            <w:pPr>
              <w:pStyle w:val="Tabletext"/>
            </w:pPr>
            <w:r w:rsidRPr="009E3CCA">
              <w:lastRenderedPageBreak/>
              <w:t>PE6</w:t>
            </w:r>
          </w:p>
        </w:tc>
        <w:tc>
          <w:tcPr>
            <w:tcW w:w="2350" w:type="pct"/>
          </w:tcPr>
          <w:p w14:paraId="10B26EA2" w14:textId="77777777" w:rsidR="009204EF" w:rsidRPr="009E3CCA" w:rsidRDefault="009204EF" w:rsidP="00B35422">
            <w:pPr>
              <w:pStyle w:val="Tabletext"/>
            </w:pPr>
            <w:r w:rsidRPr="009E3CCA">
              <w:t>Establish an EPW Employee Disability network</w:t>
            </w:r>
            <w:r>
              <w:t>.</w:t>
            </w:r>
          </w:p>
        </w:tc>
        <w:tc>
          <w:tcPr>
            <w:tcW w:w="600" w:type="pct"/>
          </w:tcPr>
          <w:p w14:paraId="284B07C8" w14:textId="77777777" w:rsidR="009204EF" w:rsidRPr="009E3CCA" w:rsidDel="00324E53" w:rsidRDefault="009204EF" w:rsidP="00B35422">
            <w:pPr>
              <w:pStyle w:val="Tabletext"/>
              <w:ind w:left="0"/>
            </w:pPr>
            <w:r w:rsidRPr="009E3CCA">
              <w:t xml:space="preserve">Number of meetings held </w:t>
            </w:r>
          </w:p>
        </w:tc>
        <w:tc>
          <w:tcPr>
            <w:tcW w:w="601" w:type="pct"/>
          </w:tcPr>
          <w:p w14:paraId="61764FB5" w14:textId="77777777" w:rsidR="009204EF" w:rsidRPr="009E3CCA" w:rsidRDefault="009204EF" w:rsidP="00B35422">
            <w:pPr>
              <w:pStyle w:val="bullet"/>
              <w:numPr>
                <w:ilvl w:val="0"/>
                <w:numId w:val="0"/>
              </w:numPr>
              <w:rPr>
                <w:color w:val="000000"/>
                <w:sz w:val="19"/>
                <w:szCs w:val="19"/>
              </w:rPr>
            </w:pPr>
            <w:r w:rsidRPr="009E3CCA">
              <w:rPr>
                <w:color w:val="000000" w:themeColor="text1"/>
                <w:sz w:val="19"/>
                <w:szCs w:val="19"/>
              </w:rPr>
              <w:t>Human Resources (supported by EPW Disability Champion)</w:t>
            </w:r>
          </w:p>
        </w:tc>
        <w:tc>
          <w:tcPr>
            <w:tcW w:w="500" w:type="pct"/>
          </w:tcPr>
          <w:p w14:paraId="12DCBA9C" w14:textId="77777777" w:rsidR="009204EF" w:rsidRPr="009E3CCA" w:rsidDel="00971097" w:rsidRDefault="009204EF" w:rsidP="00B35422">
            <w:pPr>
              <w:pStyle w:val="bullet"/>
              <w:numPr>
                <w:ilvl w:val="0"/>
                <w:numId w:val="0"/>
              </w:numPr>
              <w:rPr>
                <w:color w:val="000000"/>
                <w:sz w:val="19"/>
                <w:szCs w:val="19"/>
              </w:rPr>
            </w:pPr>
            <w:r w:rsidRPr="009E3CCA">
              <w:rPr>
                <w:sz w:val="19"/>
                <w:szCs w:val="19"/>
              </w:rPr>
              <w:t>CPS</w:t>
            </w:r>
          </w:p>
        </w:tc>
        <w:tc>
          <w:tcPr>
            <w:tcW w:w="601" w:type="pct"/>
          </w:tcPr>
          <w:p w14:paraId="38EF9CB5" w14:textId="70EFD4B1" w:rsidR="009204EF" w:rsidRPr="00542B60" w:rsidDel="00971097" w:rsidRDefault="009204EF" w:rsidP="00B35422">
            <w:pPr>
              <w:pStyle w:val="bullet"/>
              <w:numPr>
                <w:ilvl w:val="0"/>
                <w:numId w:val="0"/>
              </w:numPr>
              <w:rPr>
                <w:sz w:val="19"/>
                <w:szCs w:val="19"/>
                <w:lang w:val="en-US"/>
              </w:rPr>
            </w:pPr>
            <w:r w:rsidRPr="00542B60">
              <w:rPr>
                <w:sz w:val="19"/>
                <w:szCs w:val="19"/>
                <w:lang w:val="en-US"/>
              </w:rPr>
              <w:t>Community and attitudes</w:t>
            </w:r>
          </w:p>
        </w:tc>
      </w:tr>
      <w:tr w:rsidR="009204EF" w:rsidRPr="00F335BA" w14:paraId="506F4EE0" w14:textId="77777777" w:rsidTr="00542B60">
        <w:tc>
          <w:tcPr>
            <w:tcW w:w="349" w:type="pct"/>
          </w:tcPr>
          <w:p w14:paraId="6559F07C" w14:textId="77777777" w:rsidR="009204EF" w:rsidRPr="009E3CCA" w:rsidRDefault="009204EF" w:rsidP="00B35422">
            <w:pPr>
              <w:pStyle w:val="Tabletext"/>
            </w:pPr>
            <w:r w:rsidRPr="009E3CCA">
              <w:t>PE7</w:t>
            </w:r>
          </w:p>
        </w:tc>
        <w:tc>
          <w:tcPr>
            <w:tcW w:w="2350" w:type="pct"/>
          </w:tcPr>
          <w:p w14:paraId="466BB0CB" w14:textId="77777777" w:rsidR="009204EF" w:rsidRPr="009E3CCA" w:rsidRDefault="009204EF" w:rsidP="00B35422">
            <w:pPr>
              <w:pStyle w:val="Tabletext"/>
            </w:pPr>
            <w:r w:rsidRPr="009E3CCA">
              <w:t xml:space="preserve">Enhance diversity and inclusion leadership through a Futures Forum (leadership forum) to raise awareness, knowledge and understanding, and ways to remove barriers to inclusion within divisions. </w:t>
            </w:r>
          </w:p>
        </w:tc>
        <w:tc>
          <w:tcPr>
            <w:tcW w:w="600" w:type="pct"/>
          </w:tcPr>
          <w:p w14:paraId="2C6A3D3B" w14:textId="77777777" w:rsidR="009204EF" w:rsidRPr="009E3CCA" w:rsidDel="00324E53" w:rsidRDefault="009204EF" w:rsidP="00B35422">
            <w:pPr>
              <w:pStyle w:val="Tabletext"/>
              <w:ind w:left="0"/>
            </w:pPr>
            <w:r w:rsidRPr="009E3CCA">
              <w:t>Forum held</w:t>
            </w:r>
          </w:p>
        </w:tc>
        <w:tc>
          <w:tcPr>
            <w:tcW w:w="601" w:type="pct"/>
          </w:tcPr>
          <w:p w14:paraId="02BBBFFA" w14:textId="77777777" w:rsidR="009204EF" w:rsidRPr="009E3CCA" w:rsidRDefault="009204EF" w:rsidP="00B35422">
            <w:pPr>
              <w:pStyle w:val="bullet"/>
              <w:numPr>
                <w:ilvl w:val="0"/>
                <w:numId w:val="0"/>
              </w:numPr>
              <w:rPr>
                <w:color w:val="000000"/>
                <w:sz w:val="19"/>
                <w:szCs w:val="19"/>
              </w:rPr>
            </w:pPr>
            <w:r w:rsidRPr="009E3CCA">
              <w:rPr>
                <w:color w:val="000000" w:themeColor="text1"/>
                <w:sz w:val="19"/>
                <w:szCs w:val="19"/>
              </w:rPr>
              <w:t>Portfolio Integration (lead)</w:t>
            </w:r>
          </w:p>
        </w:tc>
        <w:tc>
          <w:tcPr>
            <w:tcW w:w="500" w:type="pct"/>
          </w:tcPr>
          <w:p w14:paraId="77C08E7E" w14:textId="77777777" w:rsidR="009204EF" w:rsidRPr="009E3CCA" w:rsidDel="00971097" w:rsidRDefault="009204EF" w:rsidP="00B35422">
            <w:pPr>
              <w:pStyle w:val="bullet"/>
              <w:numPr>
                <w:ilvl w:val="0"/>
                <w:numId w:val="0"/>
              </w:numPr>
              <w:rPr>
                <w:color w:val="000000"/>
                <w:sz w:val="19"/>
                <w:szCs w:val="19"/>
              </w:rPr>
            </w:pPr>
            <w:r w:rsidRPr="009E3CCA">
              <w:rPr>
                <w:color w:val="000000" w:themeColor="text1"/>
                <w:sz w:val="19"/>
                <w:szCs w:val="19"/>
              </w:rPr>
              <w:t>All EPW</w:t>
            </w:r>
          </w:p>
        </w:tc>
        <w:tc>
          <w:tcPr>
            <w:tcW w:w="601" w:type="pct"/>
          </w:tcPr>
          <w:p w14:paraId="31276C37" w14:textId="3DA46F06" w:rsidR="009204EF" w:rsidRPr="00542B60" w:rsidDel="00971097" w:rsidRDefault="009204EF" w:rsidP="00B35422">
            <w:pPr>
              <w:pStyle w:val="bullet"/>
              <w:numPr>
                <w:ilvl w:val="0"/>
                <w:numId w:val="0"/>
              </w:numPr>
              <w:rPr>
                <w:sz w:val="19"/>
                <w:szCs w:val="19"/>
                <w:lang w:val="en-US"/>
              </w:rPr>
            </w:pPr>
            <w:r w:rsidRPr="00542B60">
              <w:rPr>
                <w:sz w:val="19"/>
                <w:szCs w:val="19"/>
                <w:lang w:val="en-US"/>
              </w:rPr>
              <w:t>Community and attitudes</w:t>
            </w:r>
          </w:p>
        </w:tc>
      </w:tr>
      <w:tr w:rsidR="009204EF" w:rsidRPr="00F335BA" w14:paraId="6D2E9077" w14:textId="77777777" w:rsidTr="00542B60">
        <w:tc>
          <w:tcPr>
            <w:tcW w:w="349" w:type="pct"/>
          </w:tcPr>
          <w:p w14:paraId="5931B97F" w14:textId="77777777" w:rsidR="009204EF" w:rsidRPr="009E3CCA" w:rsidRDefault="009204EF" w:rsidP="00B35422">
            <w:pPr>
              <w:pStyle w:val="Tabletext"/>
            </w:pPr>
            <w:r w:rsidRPr="009E3CCA">
              <w:t>PE8</w:t>
            </w:r>
          </w:p>
        </w:tc>
        <w:tc>
          <w:tcPr>
            <w:tcW w:w="2350" w:type="pct"/>
          </w:tcPr>
          <w:p w14:paraId="63A619F9" w14:textId="77777777" w:rsidR="009204EF" w:rsidRPr="009E3CCA" w:rsidRDefault="009204EF" w:rsidP="00B35422">
            <w:pPr>
              <w:pStyle w:val="Tabletext"/>
            </w:pPr>
            <w:r w:rsidRPr="009E3CCA">
              <w:t>Establish a mentoring program targeting diversity groups including people with disability.</w:t>
            </w:r>
          </w:p>
        </w:tc>
        <w:tc>
          <w:tcPr>
            <w:tcW w:w="600" w:type="pct"/>
          </w:tcPr>
          <w:p w14:paraId="763F4151" w14:textId="77777777" w:rsidR="009204EF" w:rsidRPr="009E3CCA" w:rsidRDefault="009204EF" w:rsidP="00B35422">
            <w:pPr>
              <w:pStyle w:val="Tabletext"/>
              <w:ind w:left="0"/>
            </w:pPr>
            <w:r w:rsidRPr="009E3CCA">
              <w:t>Program participation numbers</w:t>
            </w:r>
          </w:p>
        </w:tc>
        <w:tc>
          <w:tcPr>
            <w:tcW w:w="601" w:type="pct"/>
          </w:tcPr>
          <w:p w14:paraId="73B9B4C9" w14:textId="77777777" w:rsidR="009204EF" w:rsidRPr="009E3CCA" w:rsidRDefault="009204EF" w:rsidP="00B35422">
            <w:pPr>
              <w:pStyle w:val="bullet"/>
              <w:numPr>
                <w:ilvl w:val="0"/>
                <w:numId w:val="0"/>
              </w:numPr>
              <w:rPr>
                <w:color w:val="000000"/>
                <w:sz w:val="19"/>
                <w:szCs w:val="19"/>
              </w:rPr>
            </w:pPr>
            <w:r w:rsidRPr="009E3CCA">
              <w:rPr>
                <w:color w:val="000000" w:themeColor="text1"/>
                <w:sz w:val="19"/>
                <w:szCs w:val="19"/>
              </w:rPr>
              <w:t xml:space="preserve">QBuild </w:t>
            </w:r>
          </w:p>
        </w:tc>
        <w:tc>
          <w:tcPr>
            <w:tcW w:w="500" w:type="pct"/>
          </w:tcPr>
          <w:p w14:paraId="365986AB" w14:textId="77777777" w:rsidR="009204EF" w:rsidRPr="009E3CCA" w:rsidRDefault="009204EF" w:rsidP="00B35422">
            <w:pPr>
              <w:pStyle w:val="bullet"/>
              <w:numPr>
                <w:ilvl w:val="0"/>
                <w:numId w:val="0"/>
              </w:numPr>
              <w:rPr>
                <w:color w:val="000000"/>
                <w:sz w:val="19"/>
                <w:szCs w:val="19"/>
              </w:rPr>
            </w:pPr>
            <w:r w:rsidRPr="009E3CCA">
              <w:rPr>
                <w:color w:val="000000" w:themeColor="text1"/>
                <w:sz w:val="19"/>
                <w:szCs w:val="19"/>
              </w:rPr>
              <w:t xml:space="preserve">Public Works </w:t>
            </w:r>
          </w:p>
        </w:tc>
        <w:tc>
          <w:tcPr>
            <w:tcW w:w="601" w:type="pct"/>
          </w:tcPr>
          <w:p w14:paraId="23902D82" w14:textId="146431F8" w:rsidR="009204EF" w:rsidRPr="00542B60" w:rsidRDefault="009204EF" w:rsidP="00B35422">
            <w:pPr>
              <w:pStyle w:val="bullet"/>
              <w:numPr>
                <w:ilvl w:val="0"/>
                <w:numId w:val="0"/>
              </w:numPr>
              <w:rPr>
                <w:sz w:val="19"/>
                <w:szCs w:val="19"/>
                <w:lang w:val="en-US"/>
              </w:rPr>
            </w:pPr>
            <w:r w:rsidRPr="00542B60">
              <w:rPr>
                <w:sz w:val="19"/>
                <w:szCs w:val="19"/>
                <w:lang w:val="en-US"/>
              </w:rPr>
              <w:t>Community and attitudes</w:t>
            </w:r>
          </w:p>
        </w:tc>
      </w:tr>
    </w:tbl>
    <w:p w14:paraId="2E6926EF" w14:textId="77777777" w:rsidR="009204EF" w:rsidRDefault="009204EF" w:rsidP="009204EF">
      <w:pPr>
        <w:spacing w:after="0" w:line="240" w:lineRule="auto"/>
        <w:rPr>
          <w:b/>
          <w:bCs/>
          <w:i/>
          <w:iCs/>
          <w:sz w:val="28"/>
          <w:szCs w:val="28"/>
        </w:rPr>
      </w:pPr>
    </w:p>
    <w:p w14:paraId="1307627D" w14:textId="77777777" w:rsidR="009204EF" w:rsidRDefault="009204EF" w:rsidP="009204EF">
      <w:pPr>
        <w:pStyle w:val="Heading2"/>
        <w:numPr>
          <w:ilvl w:val="1"/>
          <w:numId w:val="0"/>
        </w:numPr>
        <w:rPr>
          <w:b/>
          <w:bCs/>
          <w:sz w:val="24"/>
          <w:szCs w:val="24"/>
        </w:rPr>
      </w:pPr>
      <w:r w:rsidRPr="58E9D043">
        <w:rPr>
          <w:b/>
          <w:bCs/>
          <w:sz w:val="24"/>
          <w:szCs w:val="24"/>
        </w:rPr>
        <w:t xml:space="preserve">Our places </w:t>
      </w:r>
    </w:p>
    <w:p w14:paraId="1D5A09B6" w14:textId="77777777" w:rsidR="009204EF" w:rsidRPr="009E3CCA" w:rsidRDefault="009204EF" w:rsidP="009204EF">
      <w:pPr>
        <w:pStyle w:val="Heading2"/>
        <w:numPr>
          <w:ilvl w:val="1"/>
          <w:numId w:val="0"/>
        </w:numPr>
        <w:rPr>
          <w:sz w:val="20"/>
          <w:szCs w:val="20"/>
          <w:lang w:eastAsia="en-AU"/>
        </w:rPr>
      </w:pPr>
      <w:r w:rsidRPr="009E3CCA">
        <w:rPr>
          <w:sz w:val="20"/>
          <w:szCs w:val="20"/>
        </w:rPr>
        <w:t xml:space="preserve">EPW places, services and infrastructure must be accessible, </w:t>
      </w:r>
      <w:proofErr w:type="gramStart"/>
      <w:r w:rsidRPr="009E3CCA">
        <w:rPr>
          <w:sz w:val="20"/>
          <w:szCs w:val="20"/>
        </w:rPr>
        <w:t>inclusive</w:t>
      </w:r>
      <w:proofErr w:type="gramEnd"/>
      <w:r w:rsidRPr="009E3CCA">
        <w:rPr>
          <w:sz w:val="20"/>
          <w:szCs w:val="20"/>
        </w:rPr>
        <w:t xml:space="preserve"> and universally designed to support community and economic participation for people with disability.</w:t>
      </w:r>
    </w:p>
    <w:tbl>
      <w:tblPr>
        <w:tblStyle w:val="DSPGuide-Table"/>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2"/>
        <w:gridCol w:w="1701"/>
        <w:gridCol w:w="1701"/>
        <w:gridCol w:w="1417"/>
        <w:gridCol w:w="1701"/>
      </w:tblGrid>
      <w:tr w:rsidR="009204EF" w:rsidRPr="00FF38D7" w14:paraId="11404321" w14:textId="77777777" w:rsidTr="00542B60">
        <w:trPr>
          <w:cnfStyle w:val="100000000000" w:firstRow="1" w:lastRow="0" w:firstColumn="0" w:lastColumn="0" w:oddVBand="0" w:evenVBand="0" w:oddHBand="0" w:evenHBand="0" w:firstRowFirstColumn="0" w:firstRowLastColumn="0" w:lastRowFirstColumn="0" w:lastRowLastColumn="0"/>
          <w:trHeight w:val="340"/>
          <w:tblHeader/>
        </w:trPr>
        <w:tc>
          <w:tcPr>
            <w:tcW w:w="988" w:type="dxa"/>
          </w:tcPr>
          <w:p w14:paraId="22335CB7" w14:textId="77777777" w:rsidR="009204EF" w:rsidRDefault="009204EF" w:rsidP="00B35422">
            <w:pPr>
              <w:pStyle w:val="Tableheader"/>
              <w:ind w:left="0"/>
            </w:pPr>
            <w:r>
              <w:t xml:space="preserve">Action number </w:t>
            </w:r>
          </w:p>
        </w:tc>
        <w:tc>
          <w:tcPr>
            <w:tcW w:w="6662" w:type="dxa"/>
          </w:tcPr>
          <w:p w14:paraId="2778AAE7" w14:textId="77777777" w:rsidR="009204EF" w:rsidRPr="007C5023" w:rsidRDefault="009204EF" w:rsidP="00B35422">
            <w:pPr>
              <w:pStyle w:val="Tableheader"/>
            </w:pPr>
            <w:r w:rsidRPr="007C5023">
              <w:t>Action</w:t>
            </w:r>
          </w:p>
        </w:tc>
        <w:tc>
          <w:tcPr>
            <w:tcW w:w="1701" w:type="dxa"/>
          </w:tcPr>
          <w:p w14:paraId="5B413243" w14:textId="77777777" w:rsidR="009204EF" w:rsidRPr="007C5023" w:rsidRDefault="009204EF" w:rsidP="00B35422">
            <w:pPr>
              <w:pStyle w:val="Tableheader"/>
            </w:pPr>
            <w:r>
              <w:t xml:space="preserve">Performance </w:t>
            </w:r>
            <w:r>
              <w:br/>
              <w:t>indicators*</w:t>
            </w:r>
          </w:p>
        </w:tc>
        <w:tc>
          <w:tcPr>
            <w:tcW w:w="1701" w:type="dxa"/>
          </w:tcPr>
          <w:p w14:paraId="6F322614" w14:textId="77777777" w:rsidR="009204EF" w:rsidRDefault="009204EF" w:rsidP="00B35422">
            <w:pPr>
              <w:pStyle w:val="Tableheader"/>
              <w:jc w:val="both"/>
            </w:pPr>
            <w:r>
              <w:t xml:space="preserve">Business area/s </w:t>
            </w:r>
          </w:p>
        </w:tc>
        <w:tc>
          <w:tcPr>
            <w:tcW w:w="1417" w:type="dxa"/>
          </w:tcPr>
          <w:p w14:paraId="71EBC320" w14:textId="77777777" w:rsidR="009204EF" w:rsidRDefault="009204EF" w:rsidP="00B35422">
            <w:pPr>
              <w:pStyle w:val="Tableheader"/>
            </w:pPr>
            <w:r>
              <w:t>Divisions</w:t>
            </w:r>
          </w:p>
        </w:tc>
        <w:tc>
          <w:tcPr>
            <w:tcW w:w="1701" w:type="dxa"/>
          </w:tcPr>
          <w:p w14:paraId="7CA9982F" w14:textId="77777777" w:rsidR="009204EF" w:rsidRDefault="009204EF" w:rsidP="00B35422">
            <w:pPr>
              <w:pStyle w:val="Tableheader"/>
            </w:pPr>
            <w:r w:rsidRPr="00C37C6C">
              <w:rPr>
                <w:sz w:val="20"/>
                <w:szCs w:val="20"/>
              </w:rPr>
              <w:t xml:space="preserve">ADS Outcome </w:t>
            </w:r>
            <w:r>
              <w:rPr>
                <w:sz w:val="20"/>
                <w:szCs w:val="20"/>
              </w:rPr>
              <w:t>a</w:t>
            </w:r>
            <w:r w:rsidRPr="00C37C6C">
              <w:rPr>
                <w:sz w:val="20"/>
                <w:szCs w:val="20"/>
              </w:rPr>
              <w:t>reas</w:t>
            </w:r>
          </w:p>
        </w:tc>
      </w:tr>
      <w:tr w:rsidR="009204EF" w:rsidRPr="00D67E15" w14:paraId="173DDD7B" w14:textId="77777777" w:rsidTr="00542B60">
        <w:tc>
          <w:tcPr>
            <w:tcW w:w="988" w:type="dxa"/>
          </w:tcPr>
          <w:p w14:paraId="695C0CCC" w14:textId="77777777" w:rsidR="009204EF" w:rsidRDefault="009204EF" w:rsidP="00B35422">
            <w:pPr>
              <w:pStyle w:val="Tabletext"/>
            </w:pPr>
            <w:r>
              <w:t>PL1</w:t>
            </w:r>
          </w:p>
        </w:tc>
        <w:tc>
          <w:tcPr>
            <w:tcW w:w="6662" w:type="dxa"/>
          </w:tcPr>
          <w:p w14:paraId="0B63D6B6" w14:textId="77777777" w:rsidR="009204EF" w:rsidRPr="00EB3DFC" w:rsidRDefault="009204EF" w:rsidP="00B35422">
            <w:pPr>
              <w:pStyle w:val="Tabletext"/>
            </w:pPr>
            <w:r>
              <w:t xml:space="preserve">All Brisbane 2032 Games venue (buildings and precincts) briefs to clearly articulate the requirement for venues to be accessible, </w:t>
            </w:r>
            <w:proofErr w:type="gramStart"/>
            <w:r>
              <w:t>welcoming</w:t>
            </w:r>
            <w:proofErr w:type="gramEnd"/>
            <w:r>
              <w:t xml:space="preserve"> and inclusive places. </w:t>
            </w:r>
          </w:p>
        </w:tc>
        <w:tc>
          <w:tcPr>
            <w:tcW w:w="1701" w:type="dxa"/>
          </w:tcPr>
          <w:p w14:paraId="1030CD7A" w14:textId="77777777" w:rsidR="009204EF" w:rsidRPr="00D67E15" w:rsidRDefault="009204EF" w:rsidP="00B35422">
            <w:pPr>
              <w:pStyle w:val="Tabletext"/>
              <w:ind w:left="0"/>
              <w:rPr>
                <w:highlight w:val="yellow"/>
              </w:rPr>
            </w:pPr>
            <w:r>
              <w:t xml:space="preserve">All venue briefs state accessibility requirements </w:t>
            </w:r>
          </w:p>
        </w:tc>
        <w:tc>
          <w:tcPr>
            <w:tcW w:w="1701" w:type="dxa"/>
          </w:tcPr>
          <w:p w14:paraId="3B476E21" w14:textId="77777777" w:rsidR="009204EF" w:rsidRDefault="009204EF" w:rsidP="00B35422">
            <w:pPr>
              <w:pStyle w:val="bullet"/>
              <w:numPr>
                <w:ilvl w:val="0"/>
                <w:numId w:val="0"/>
              </w:numPr>
              <w:rPr>
                <w:sz w:val="19"/>
                <w:szCs w:val="19"/>
              </w:rPr>
            </w:pPr>
            <w:r w:rsidRPr="58E9D043">
              <w:rPr>
                <w:sz w:val="19"/>
                <w:szCs w:val="19"/>
              </w:rPr>
              <w:t>Office of the Qld Govt Architect (</w:t>
            </w:r>
            <w:r>
              <w:rPr>
                <w:sz w:val="19"/>
                <w:szCs w:val="19"/>
              </w:rPr>
              <w:t>Q</w:t>
            </w:r>
            <w:r w:rsidRPr="58E9D043">
              <w:rPr>
                <w:sz w:val="19"/>
                <w:szCs w:val="19"/>
              </w:rPr>
              <w:t>GA)</w:t>
            </w:r>
          </w:p>
          <w:p w14:paraId="3E58B34B" w14:textId="77777777" w:rsidR="009204EF" w:rsidRPr="00D67E15" w:rsidRDefault="009204EF" w:rsidP="00B35422">
            <w:pPr>
              <w:pStyle w:val="bullet"/>
              <w:numPr>
                <w:ilvl w:val="0"/>
                <w:numId w:val="0"/>
              </w:numPr>
              <w:rPr>
                <w:sz w:val="19"/>
                <w:szCs w:val="19"/>
              </w:rPr>
            </w:pPr>
            <w:r w:rsidRPr="58E9D043">
              <w:rPr>
                <w:sz w:val="19"/>
                <w:szCs w:val="19"/>
              </w:rPr>
              <w:t>Major Projects</w:t>
            </w:r>
          </w:p>
        </w:tc>
        <w:tc>
          <w:tcPr>
            <w:tcW w:w="1417" w:type="dxa"/>
          </w:tcPr>
          <w:p w14:paraId="6BE30CC6" w14:textId="77777777" w:rsidR="009204EF" w:rsidRPr="00D67E15" w:rsidRDefault="009204EF" w:rsidP="00B35422">
            <w:pPr>
              <w:pStyle w:val="bullet"/>
              <w:numPr>
                <w:ilvl w:val="0"/>
                <w:numId w:val="0"/>
              </w:numPr>
              <w:rPr>
                <w:sz w:val="19"/>
                <w:szCs w:val="19"/>
              </w:rPr>
            </w:pPr>
            <w:r w:rsidRPr="58E9D043">
              <w:rPr>
                <w:sz w:val="19"/>
                <w:szCs w:val="19"/>
              </w:rPr>
              <w:t>Public Works</w:t>
            </w:r>
          </w:p>
        </w:tc>
        <w:tc>
          <w:tcPr>
            <w:tcW w:w="1701" w:type="dxa"/>
          </w:tcPr>
          <w:p w14:paraId="006E018B" w14:textId="1D247D5E" w:rsidR="009204EF" w:rsidRPr="00542B60"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16F7264D" w14:textId="77777777" w:rsidTr="00542B60">
        <w:tc>
          <w:tcPr>
            <w:tcW w:w="988" w:type="dxa"/>
          </w:tcPr>
          <w:p w14:paraId="3B668310" w14:textId="77777777" w:rsidR="009204EF" w:rsidRDefault="009204EF" w:rsidP="00B35422">
            <w:pPr>
              <w:pStyle w:val="Tabletext"/>
            </w:pPr>
            <w:r>
              <w:t>PL2</w:t>
            </w:r>
          </w:p>
        </w:tc>
        <w:tc>
          <w:tcPr>
            <w:tcW w:w="6662" w:type="dxa"/>
          </w:tcPr>
          <w:p w14:paraId="66BED7D0" w14:textId="77777777" w:rsidR="009204EF" w:rsidRDefault="009204EF" w:rsidP="00B35422">
            <w:pPr>
              <w:pStyle w:val="Tabletext"/>
            </w:pPr>
            <w:r w:rsidRPr="007C5023">
              <w:t>Systemic advocacy to influence and inform</w:t>
            </w:r>
            <w:r>
              <w:t xml:space="preserve"> staff, </w:t>
            </w:r>
            <w:proofErr w:type="gramStart"/>
            <w:r>
              <w:t>customers</w:t>
            </w:r>
            <w:proofErr w:type="gramEnd"/>
            <w:r>
              <w:t xml:space="preserve"> and client agencies</w:t>
            </w:r>
            <w:r w:rsidRPr="007C5023">
              <w:t xml:space="preserve"> in relation to accessibility for people with disability in</w:t>
            </w:r>
            <w:r>
              <w:t>:</w:t>
            </w:r>
          </w:p>
          <w:p w14:paraId="426A245F" w14:textId="77777777" w:rsidR="009204EF" w:rsidRDefault="009204EF" w:rsidP="009204EF">
            <w:pPr>
              <w:pStyle w:val="Tabletext"/>
              <w:numPr>
                <w:ilvl w:val="0"/>
                <w:numId w:val="2"/>
              </w:numPr>
            </w:pPr>
            <w:r>
              <w:t>B</w:t>
            </w:r>
            <w:r w:rsidRPr="007C5023">
              <w:t>uilding and construction design</w:t>
            </w:r>
            <w:r>
              <w:t>.</w:t>
            </w:r>
          </w:p>
          <w:p w14:paraId="7D023A3B" w14:textId="77777777" w:rsidR="009204EF" w:rsidRDefault="009204EF" w:rsidP="009204EF">
            <w:pPr>
              <w:pStyle w:val="Tabletext"/>
              <w:numPr>
                <w:ilvl w:val="0"/>
                <w:numId w:val="2"/>
              </w:numPr>
            </w:pPr>
            <w:proofErr w:type="spellStart"/>
            <w:r>
              <w:t>Utilising</w:t>
            </w:r>
            <w:proofErr w:type="spellEnd"/>
            <w:r>
              <w:t xml:space="preserve"> the Public Works Social Procurement Framework.</w:t>
            </w:r>
          </w:p>
        </w:tc>
        <w:tc>
          <w:tcPr>
            <w:tcW w:w="1701" w:type="dxa"/>
          </w:tcPr>
          <w:p w14:paraId="5980F4F3" w14:textId="77777777" w:rsidR="009204EF" w:rsidRDefault="009204EF" w:rsidP="00B35422">
            <w:pPr>
              <w:pStyle w:val="Tabletext"/>
              <w:ind w:left="0"/>
            </w:pPr>
            <w:r>
              <w:t>Not applicable</w:t>
            </w:r>
            <w:r w:rsidRPr="007C5023">
              <w:t xml:space="preserve"> </w:t>
            </w:r>
          </w:p>
        </w:tc>
        <w:tc>
          <w:tcPr>
            <w:tcW w:w="1701" w:type="dxa"/>
          </w:tcPr>
          <w:p w14:paraId="4341F082" w14:textId="77777777" w:rsidR="009204EF" w:rsidRDefault="009204EF" w:rsidP="00B35422">
            <w:pPr>
              <w:pStyle w:val="bullet"/>
              <w:numPr>
                <w:ilvl w:val="0"/>
                <w:numId w:val="0"/>
              </w:numPr>
              <w:rPr>
                <w:sz w:val="19"/>
                <w:szCs w:val="19"/>
              </w:rPr>
            </w:pPr>
            <w:r w:rsidRPr="58E9D043">
              <w:rPr>
                <w:sz w:val="19"/>
                <w:szCs w:val="19"/>
              </w:rPr>
              <w:t xml:space="preserve">QGA </w:t>
            </w:r>
          </w:p>
          <w:p w14:paraId="53B48A16" w14:textId="77777777" w:rsidR="009204EF" w:rsidRDefault="009204EF" w:rsidP="00B35422">
            <w:pPr>
              <w:pStyle w:val="bullet"/>
              <w:numPr>
                <w:ilvl w:val="0"/>
                <w:numId w:val="0"/>
              </w:numPr>
              <w:rPr>
                <w:sz w:val="19"/>
                <w:szCs w:val="19"/>
              </w:rPr>
            </w:pPr>
            <w:r w:rsidRPr="58E9D043">
              <w:rPr>
                <w:sz w:val="19"/>
                <w:szCs w:val="19"/>
              </w:rPr>
              <w:t>Major Projects</w:t>
            </w:r>
          </w:p>
          <w:p w14:paraId="5022462F" w14:textId="77777777" w:rsidR="009204EF" w:rsidRDefault="009204EF" w:rsidP="00B35422">
            <w:pPr>
              <w:pStyle w:val="bullet"/>
              <w:numPr>
                <w:ilvl w:val="0"/>
                <w:numId w:val="0"/>
              </w:numPr>
              <w:rPr>
                <w:sz w:val="19"/>
                <w:szCs w:val="19"/>
              </w:rPr>
            </w:pPr>
            <w:r>
              <w:rPr>
                <w:sz w:val="19"/>
                <w:szCs w:val="19"/>
              </w:rPr>
              <w:t>QBuild</w:t>
            </w:r>
          </w:p>
        </w:tc>
        <w:tc>
          <w:tcPr>
            <w:tcW w:w="1417" w:type="dxa"/>
          </w:tcPr>
          <w:p w14:paraId="4DEB4AE5" w14:textId="77777777" w:rsidR="009204EF" w:rsidRPr="00063BFC" w:rsidRDefault="009204EF" w:rsidP="00B35422">
            <w:pPr>
              <w:pStyle w:val="bullet"/>
              <w:numPr>
                <w:ilvl w:val="0"/>
                <w:numId w:val="0"/>
              </w:numPr>
              <w:rPr>
                <w:sz w:val="19"/>
                <w:szCs w:val="19"/>
              </w:rPr>
            </w:pPr>
            <w:r w:rsidRPr="58E9D043">
              <w:rPr>
                <w:sz w:val="19"/>
                <w:szCs w:val="19"/>
              </w:rPr>
              <w:t>Public Works</w:t>
            </w:r>
          </w:p>
        </w:tc>
        <w:tc>
          <w:tcPr>
            <w:tcW w:w="1701" w:type="dxa"/>
          </w:tcPr>
          <w:p w14:paraId="56A51A84" w14:textId="531676BF" w:rsidR="009204EF" w:rsidRPr="00542B60" w:rsidRDefault="009204EF" w:rsidP="00B35422">
            <w:pPr>
              <w:pStyle w:val="bullet"/>
              <w:numPr>
                <w:ilvl w:val="0"/>
                <w:numId w:val="0"/>
              </w:numPr>
              <w:rPr>
                <w:sz w:val="19"/>
                <w:szCs w:val="19"/>
                <w:lang w:val="en-US"/>
              </w:rPr>
            </w:pPr>
            <w:r w:rsidRPr="00542B60">
              <w:rPr>
                <w:sz w:val="19"/>
                <w:szCs w:val="19"/>
                <w:lang w:val="en-US"/>
              </w:rPr>
              <w:t>Inclusive homes and communities and Employment and financial security</w:t>
            </w:r>
          </w:p>
        </w:tc>
      </w:tr>
      <w:tr w:rsidR="009204EF" w:rsidRPr="00D67E15" w14:paraId="5056373B" w14:textId="77777777" w:rsidTr="00542B60">
        <w:tc>
          <w:tcPr>
            <w:tcW w:w="988" w:type="dxa"/>
          </w:tcPr>
          <w:p w14:paraId="2285247A" w14:textId="77777777" w:rsidR="009204EF" w:rsidRPr="00D67E15" w:rsidRDefault="009204EF" w:rsidP="00B35422">
            <w:pPr>
              <w:pStyle w:val="Tabletext"/>
            </w:pPr>
            <w:r>
              <w:t>PL3</w:t>
            </w:r>
          </w:p>
        </w:tc>
        <w:tc>
          <w:tcPr>
            <w:tcW w:w="6662" w:type="dxa"/>
          </w:tcPr>
          <w:p w14:paraId="68D52141" w14:textId="77777777" w:rsidR="009204EF" w:rsidRPr="00EB3DFC" w:rsidRDefault="009204EF" w:rsidP="00B35422">
            <w:pPr>
              <w:pStyle w:val="Tabletext"/>
            </w:pPr>
            <w:r>
              <w:t>Participate in the Accessibility Advisory Group for Brisbane 2032 Games design and delivery (once established).</w:t>
            </w:r>
          </w:p>
        </w:tc>
        <w:tc>
          <w:tcPr>
            <w:tcW w:w="1701" w:type="dxa"/>
          </w:tcPr>
          <w:p w14:paraId="536998A6" w14:textId="77777777" w:rsidR="009204EF" w:rsidRPr="00D67E15" w:rsidRDefault="009204EF" w:rsidP="00B35422">
            <w:pPr>
              <w:pStyle w:val="Tabletext"/>
              <w:ind w:left="0"/>
            </w:pPr>
            <w:r>
              <w:t>Number of meetings attended</w:t>
            </w:r>
          </w:p>
        </w:tc>
        <w:tc>
          <w:tcPr>
            <w:tcW w:w="1701" w:type="dxa"/>
          </w:tcPr>
          <w:p w14:paraId="1511F093" w14:textId="77777777" w:rsidR="009204EF" w:rsidRDefault="009204EF" w:rsidP="00B35422">
            <w:pPr>
              <w:pStyle w:val="bullet"/>
              <w:numPr>
                <w:ilvl w:val="0"/>
                <w:numId w:val="0"/>
              </w:numPr>
              <w:rPr>
                <w:sz w:val="19"/>
                <w:szCs w:val="19"/>
              </w:rPr>
            </w:pPr>
            <w:r w:rsidRPr="58E9D043">
              <w:rPr>
                <w:sz w:val="19"/>
                <w:szCs w:val="19"/>
              </w:rPr>
              <w:t xml:space="preserve">QGA </w:t>
            </w:r>
          </w:p>
          <w:p w14:paraId="6C46E9D4" w14:textId="77777777" w:rsidR="009204EF" w:rsidRPr="00D67E15" w:rsidRDefault="009204EF" w:rsidP="00B35422">
            <w:pPr>
              <w:pStyle w:val="bullet"/>
              <w:numPr>
                <w:ilvl w:val="0"/>
                <w:numId w:val="0"/>
              </w:numPr>
              <w:rPr>
                <w:color w:val="000000"/>
                <w:sz w:val="19"/>
                <w:szCs w:val="19"/>
              </w:rPr>
            </w:pPr>
            <w:r w:rsidRPr="58E9D043">
              <w:rPr>
                <w:sz w:val="19"/>
                <w:szCs w:val="19"/>
              </w:rPr>
              <w:t>Major Projects</w:t>
            </w:r>
          </w:p>
        </w:tc>
        <w:tc>
          <w:tcPr>
            <w:tcW w:w="1417" w:type="dxa"/>
          </w:tcPr>
          <w:p w14:paraId="77854D38" w14:textId="77777777" w:rsidR="009204EF" w:rsidRPr="00D67E15" w:rsidRDefault="009204EF" w:rsidP="00B35422">
            <w:pPr>
              <w:pStyle w:val="bullet"/>
              <w:numPr>
                <w:ilvl w:val="0"/>
                <w:numId w:val="0"/>
              </w:numPr>
              <w:rPr>
                <w:sz w:val="19"/>
                <w:szCs w:val="19"/>
              </w:rPr>
            </w:pPr>
            <w:r w:rsidRPr="58E9D043">
              <w:rPr>
                <w:sz w:val="19"/>
                <w:szCs w:val="19"/>
              </w:rPr>
              <w:t>Public Works</w:t>
            </w:r>
          </w:p>
        </w:tc>
        <w:tc>
          <w:tcPr>
            <w:tcW w:w="1701" w:type="dxa"/>
          </w:tcPr>
          <w:p w14:paraId="4FF04A10" w14:textId="71D03D83" w:rsidR="009204EF" w:rsidRPr="00542B60"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7878AC6D" w14:textId="77777777" w:rsidTr="00542B60">
        <w:tc>
          <w:tcPr>
            <w:tcW w:w="988" w:type="dxa"/>
          </w:tcPr>
          <w:p w14:paraId="1691B019" w14:textId="77777777" w:rsidR="009204EF" w:rsidRDefault="009204EF" w:rsidP="00B35422">
            <w:pPr>
              <w:pStyle w:val="Tabletext"/>
            </w:pPr>
            <w:r>
              <w:t>PL4</w:t>
            </w:r>
          </w:p>
        </w:tc>
        <w:tc>
          <w:tcPr>
            <w:tcW w:w="6662" w:type="dxa"/>
          </w:tcPr>
          <w:p w14:paraId="6E1D6481" w14:textId="77777777" w:rsidR="009204EF" w:rsidRDefault="009204EF" w:rsidP="00B35422">
            <w:pPr>
              <w:pStyle w:val="Tabletext"/>
            </w:pPr>
            <w:r>
              <w:t>Consult with accessibility experts throughout delivery of major capital projects.</w:t>
            </w:r>
          </w:p>
        </w:tc>
        <w:tc>
          <w:tcPr>
            <w:tcW w:w="1701" w:type="dxa"/>
          </w:tcPr>
          <w:p w14:paraId="78A59641" w14:textId="77777777" w:rsidR="009204EF" w:rsidRDefault="009204EF" w:rsidP="00B35422">
            <w:pPr>
              <w:pStyle w:val="Tabletext"/>
              <w:ind w:left="0"/>
            </w:pPr>
            <w:r>
              <w:t xml:space="preserve">Consultations undertaken </w:t>
            </w:r>
          </w:p>
        </w:tc>
        <w:tc>
          <w:tcPr>
            <w:tcW w:w="1701" w:type="dxa"/>
          </w:tcPr>
          <w:p w14:paraId="03824350" w14:textId="77777777" w:rsidR="009204EF" w:rsidRDefault="009204EF" w:rsidP="00B35422">
            <w:pPr>
              <w:pStyle w:val="bullet"/>
              <w:numPr>
                <w:ilvl w:val="0"/>
                <w:numId w:val="0"/>
              </w:numPr>
              <w:rPr>
                <w:sz w:val="19"/>
                <w:szCs w:val="19"/>
              </w:rPr>
            </w:pPr>
            <w:r w:rsidRPr="58E9D043">
              <w:rPr>
                <w:sz w:val="19"/>
                <w:szCs w:val="19"/>
              </w:rPr>
              <w:t xml:space="preserve">QGA </w:t>
            </w:r>
          </w:p>
          <w:p w14:paraId="375D05BE" w14:textId="77777777" w:rsidR="009204EF" w:rsidRDefault="009204EF" w:rsidP="00B35422">
            <w:pPr>
              <w:pStyle w:val="bullet"/>
              <w:numPr>
                <w:ilvl w:val="0"/>
                <w:numId w:val="0"/>
              </w:numPr>
              <w:rPr>
                <w:sz w:val="19"/>
                <w:szCs w:val="19"/>
              </w:rPr>
            </w:pPr>
            <w:r w:rsidRPr="58E9D043">
              <w:rPr>
                <w:sz w:val="19"/>
                <w:szCs w:val="19"/>
              </w:rPr>
              <w:t>Major Projects</w:t>
            </w:r>
          </w:p>
        </w:tc>
        <w:tc>
          <w:tcPr>
            <w:tcW w:w="1417" w:type="dxa"/>
          </w:tcPr>
          <w:p w14:paraId="06B20DEA" w14:textId="77777777" w:rsidR="009204EF" w:rsidRPr="00063BFC" w:rsidRDefault="009204EF" w:rsidP="00B35422">
            <w:pPr>
              <w:pStyle w:val="bullet"/>
              <w:numPr>
                <w:ilvl w:val="0"/>
                <w:numId w:val="0"/>
              </w:numPr>
              <w:rPr>
                <w:sz w:val="19"/>
                <w:szCs w:val="19"/>
              </w:rPr>
            </w:pPr>
            <w:r w:rsidRPr="58E9D043">
              <w:rPr>
                <w:sz w:val="19"/>
                <w:szCs w:val="19"/>
              </w:rPr>
              <w:t>Public Works</w:t>
            </w:r>
          </w:p>
        </w:tc>
        <w:tc>
          <w:tcPr>
            <w:tcW w:w="1701" w:type="dxa"/>
          </w:tcPr>
          <w:p w14:paraId="77CC6CD9" w14:textId="407D97C1" w:rsidR="009204EF" w:rsidRPr="00542B60"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55B7A545" w14:textId="77777777" w:rsidTr="00542B60">
        <w:tc>
          <w:tcPr>
            <w:tcW w:w="988" w:type="dxa"/>
          </w:tcPr>
          <w:p w14:paraId="487BCB81" w14:textId="77777777" w:rsidR="009204EF" w:rsidRPr="00D67E15" w:rsidRDefault="009204EF" w:rsidP="00B35422">
            <w:pPr>
              <w:pStyle w:val="Tabletext"/>
            </w:pPr>
            <w:r>
              <w:lastRenderedPageBreak/>
              <w:t>PL5</w:t>
            </w:r>
          </w:p>
        </w:tc>
        <w:tc>
          <w:tcPr>
            <w:tcW w:w="6662" w:type="dxa"/>
          </w:tcPr>
          <w:p w14:paraId="503B0215" w14:textId="77777777" w:rsidR="009204EF" w:rsidRPr="00D67E15" w:rsidRDefault="009204EF" w:rsidP="00B35422">
            <w:pPr>
              <w:pStyle w:val="Tabletext"/>
            </w:pPr>
            <w:r>
              <w:t>Ensure National Construction Code (NCC) minimum standards are met/exceeded through application of non-mandatory Queensland Development Code NMP1.10 (QDC) for new public venue constructions delivered by Major Projects.</w:t>
            </w:r>
          </w:p>
        </w:tc>
        <w:tc>
          <w:tcPr>
            <w:tcW w:w="1701" w:type="dxa"/>
          </w:tcPr>
          <w:p w14:paraId="02CBC0E4" w14:textId="77777777" w:rsidR="009204EF" w:rsidRPr="00D67E15" w:rsidRDefault="009204EF" w:rsidP="00B35422">
            <w:pPr>
              <w:pStyle w:val="Tabletext"/>
              <w:ind w:left="0"/>
            </w:pPr>
            <w:r>
              <w:t>Number of constructions incorporating NCC / QDC requirements</w:t>
            </w:r>
          </w:p>
        </w:tc>
        <w:tc>
          <w:tcPr>
            <w:tcW w:w="1701" w:type="dxa"/>
          </w:tcPr>
          <w:p w14:paraId="5DB39576" w14:textId="77777777" w:rsidR="009204EF" w:rsidRDefault="009204EF" w:rsidP="00B35422">
            <w:pPr>
              <w:pStyle w:val="bullet"/>
              <w:numPr>
                <w:ilvl w:val="0"/>
                <w:numId w:val="0"/>
              </w:numPr>
              <w:rPr>
                <w:sz w:val="19"/>
                <w:szCs w:val="19"/>
              </w:rPr>
            </w:pPr>
            <w:r w:rsidRPr="58E9D043">
              <w:rPr>
                <w:sz w:val="19"/>
                <w:szCs w:val="19"/>
              </w:rPr>
              <w:t xml:space="preserve">QGA </w:t>
            </w:r>
          </w:p>
          <w:p w14:paraId="4D79B745" w14:textId="77777777" w:rsidR="009204EF" w:rsidRPr="00D67E15" w:rsidRDefault="009204EF" w:rsidP="00B35422">
            <w:pPr>
              <w:pStyle w:val="bullet"/>
              <w:numPr>
                <w:ilvl w:val="0"/>
                <w:numId w:val="0"/>
              </w:numPr>
              <w:rPr>
                <w:color w:val="000000"/>
                <w:sz w:val="19"/>
                <w:szCs w:val="19"/>
              </w:rPr>
            </w:pPr>
            <w:r w:rsidRPr="58E9D043">
              <w:rPr>
                <w:sz w:val="19"/>
                <w:szCs w:val="19"/>
              </w:rPr>
              <w:t>Major Projects</w:t>
            </w:r>
          </w:p>
        </w:tc>
        <w:tc>
          <w:tcPr>
            <w:tcW w:w="1417" w:type="dxa"/>
          </w:tcPr>
          <w:p w14:paraId="5178B605" w14:textId="77777777" w:rsidR="009204EF" w:rsidRPr="00D67E15" w:rsidRDefault="009204EF" w:rsidP="00B35422">
            <w:pPr>
              <w:pStyle w:val="bullet"/>
              <w:numPr>
                <w:ilvl w:val="0"/>
                <w:numId w:val="0"/>
              </w:numPr>
              <w:rPr>
                <w:sz w:val="19"/>
                <w:szCs w:val="19"/>
              </w:rPr>
            </w:pPr>
            <w:r w:rsidRPr="58E9D043">
              <w:rPr>
                <w:sz w:val="19"/>
                <w:szCs w:val="19"/>
              </w:rPr>
              <w:t>Public Works</w:t>
            </w:r>
          </w:p>
        </w:tc>
        <w:tc>
          <w:tcPr>
            <w:tcW w:w="1701" w:type="dxa"/>
          </w:tcPr>
          <w:p w14:paraId="1EEBC37F" w14:textId="32BDAAC7" w:rsidR="009204EF" w:rsidRPr="00542B60"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7698C83C" w14:textId="77777777" w:rsidTr="00542B60">
        <w:tc>
          <w:tcPr>
            <w:tcW w:w="988" w:type="dxa"/>
          </w:tcPr>
          <w:p w14:paraId="014C2282" w14:textId="77777777" w:rsidR="009204EF" w:rsidRDefault="009204EF" w:rsidP="00B35422">
            <w:pPr>
              <w:pStyle w:val="Tabletext"/>
            </w:pPr>
            <w:r>
              <w:t>PL6</w:t>
            </w:r>
          </w:p>
        </w:tc>
        <w:tc>
          <w:tcPr>
            <w:tcW w:w="6662" w:type="dxa"/>
          </w:tcPr>
          <w:p w14:paraId="60D491EB" w14:textId="77777777" w:rsidR="009204EF" w:rsidRDefault="009204EF" w:rsidP="00B35422">
            <w:pPr>
              <w:pStyle w:val="Tabletext"/>
              <w:tabs>
                <w:tab w:val="left" w:pos="1558"/>
              </w:tabs>
            </w:pPr>
            <w:r>
              <w:t>Support implementation from 1 May 2023 of new Livable Housing Design Standards to enable dwellings to better meet the needs of community, including older people and people with mobility limitations.</w:t>
            </w:r>
          </w:p>
        </w:tc>
        <w:tc>
          <w:tcPr>
            <w:tcW w:w="1701" w:type="dxa"/>
          </w:tcPr>
          <w:p w14:paraId="55EEC328" w14:textId="77777777" w:rsidR="009204EF" w:rsidRPr="00D67E15" w:rsidDel="00324E53" w:rsidRDefault="009204EF" w:rsidP="00B35422">
            <w:pPr>
              <w:pStyle w:val="Tabletext"/>
              <w:ind w:left="0"/>
            </w:pPr>
            <w:r>
              <w:t>Implementation support provided</w:t>
            </w:r>
          </w:p>
        </w:tc>
        <w:tc>
          <w:tcPr>
            <w:tcW w:w="1701" w:type="dxa"/>
          </w:tcPr>
          <w:p w14:paraId="43C1B238" w14:textId="77777777" w:rsidR="009204EF" w:rsidRDefault="009204EF" w:rsidP="00B35422">
            <w:pPr>
              <w:pStyle w:val="bullet"/>
              <w:numPr>
                <w:ilvl w:val="0"/>
                <w:numId w:val="0"/>
              </w:numPr>
              <w:rPr>
                <w:color w:val="000000"/>
                <w:sz w:val="19"/>
                <w:szCs w:val="19"/>
              </w:rPr>
            </w:pPr>
            <w:r w:rsidRPr="58E9D043">
              <w:rPr>
                <w:color w:val="000000" w:themeColor="text1"/>
                <w:sz w:val="19"/>
                <w:szCs w:val="19"/>
              </w:rPr>
              <w:t>QBuild</w:t>
            </w:r>
          </w:p>
        </w:tc>
        <w:tc>
          <w:tcPr>
            <w:tcW w:w="1417" w:type="dxa"/>
          </w:tcPr>
          <w:p w14:paraId="78DEDC44" w14:textId="77777777" w:rsidR="009204EF" w:rsidRPr="00063BFC" w:rsidDel="00971097" w:rsidRDefault="009204EF" w:rsidP="00B35422">
            <w:pPr>
              <w:pStyle w:val="bullet"/>
              <w:numPr>
                <w:ilvl w:val="0"/>
                <w:numId w:val="0"/>
              </w:numPr>
              <w:rPr>
                <w:sz w:val="19"/>
                <w:szCs w:val="19"/>
              </w:rPr>
            </w:pPr>
            <w:r w:rsidRPr="58E9D043">
              <w:rPr>
                <w:sz w:val="19"/>
                <w:szCs w:val="19"/>
              </w:rPr>
              <w:t>Public Works</w:t>
            </w:r>
          </w:p>
        </w:tc>
        <w:tc>
          <w:tcPr>
            <w:tcW w:w="1701" w:type="dxa"/>
          </w:tcPr>
          <w:p w14:paraId="18B51950" w14:textId="7F4B0544" w:rsidR="009204EF" w:rsidRPr="00542B60" w:rsidDel="00971097"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376ECEC6" w14:textId="77777777" w:rsidTr="00542B60">
        <w:tc>
          <w:tcPr>
            <w:tcW w:w="988" w:type="dxa"/>
          </w:tcPr>
          <w:p w14:paraId="5E468C26" w14:textId="77777777" w:rsidR="009204EF" w:rsidRDefault="009204EF" w:rsidP="00B35422">
            <w:pPr>
              <w:pStyle w:val="Tabletext"/>
            </w:pPr>
            <w:r>
              <w:t>PL7</w:t>
            </w:r>
          </w:p>
        </w:tc>
        <w:tc>
          <w:tcPr>
            <w:tcW w:w="6662" w:type="dxa"/>
          </w:tcPr>
          <w:p w14:paraId="537B6C70" w14:textId="77777777" w:rsidR="009204EF" w:rsidRDefault="009204EF" w:rsidP="00B35422">
            <w:pPr>
              <w:pStyle w:val="Tabletext"/>
              <w:tabs>
                <w:tab w:val="left" w:pos="1558"/>
              </w:tabs>
            </w:pPr>
            <w:r>
              <w:t>QBuild design sprints for up to 80 prefabricated volumetric builds incorporate new NCC access and energy efficiency requirements for essential workers and social housing.</w:t>
            </w:r>
          </w:p>
        </w:tc>
        <w:tc>
          <w:tcPr>
            <w:tcW w:w="1701" w:type="dxa"/>
          </w:tcPr>
          <w:p w14:paraId="40FBEE56" w14:textId="77777777" w:rsidR="009204EF" w:rsidRPr="00D67E15" w:rsidDel="00324E53" w:rsidRDefault="009204EF" w:rsidP="00B35422">
            <w:pPr>
              <w:pStyle w:val="Tabletext"/>
              <w:ind w:left="0"/>
            </w:pPr>
            <w:r>
              <w:t>Number of builds incorporating NCC requirements</w:t>
            </w:r>
          </w:p>
        </w:tc>
        <w:tc>
          <w:tcPr>
            <w:tcW w:w="1701" w:type="dxa"/>
          </w:tcPr>
          <w:p w14:paraId="1BF3376E" w14:textId="77777777" w:rsidR="009204EF" w:rsidRDefault="009204EF" w:rsidP="00B35422">
            <w:pPr>
              <w:pStyle w:val="bullet"/>
              <w:numPr>
                <w:ilvl w:val="0"/>
                <w:numId w:val="0"/>
              </w:numPr>
              <w:rPr>
                <w:color w:val="000000"/>
                <w:sz w:val="19"/>
                <w:szCs w:val="19"/>
              </w:rPr>
            </w:pPr>
            <w:r w:rsidRPr="58E9D043">
              <w:rPr>
                <w:color w:val="000000" w:themeColor="text1"/>
                <w:sz w:val="19"/>
                <w:szCs w:val="19"/>
              </w:rPr>
              <w:t>QBuild</w:t>
            </w:r>
          </w:p>
        </w:tc>
        <w:tc>
          <w:tcPr>
            <w:tcW w:w="1417" w:type="dxa"/>
          </w:tcPr>
          <w:p w14:paraId="5CA236CC" w14:textId="77777777" w:rsidR="009204EF" w:rsidRPr="00063BFC" w:rsidDel="00971097" w:rsidRDefault="009204EF" w:rsidP="00B35422">
            <w:pPr>
              <w:pStyle w:val="bullet"/>
              <w:numPr>
                <w:ilvl w:val="0"/>
                <w:numId w:val="0"/>
              </w:numPr>
              <w:rPr>
                <w:sz w:val="19"/>
                <w:szCs w:val="19"/>
              </w:rPr>
            </w:pPr>
            <w:r w:rsidRPr="58E9D043">
              <w:rPr>
                <w:sz w:val="19"/>
                <w:szCs w:val="19"/>
              </w:rPr>
              <w:t>Public Works</w:t>
            </w:r>
          </w:p>
        </w:tc>
        <w:tc>
          <w:tcPr>
            <w:tcW w:w="1701" w:type="dxa"/>
          </w:tcPr>
          <w:p w14:paraId="561D2705" w14:textId="72E6B7F1" w:rsidR="009204EF" w:rsidRPr="00542B60" w:rsidDel="00971097"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65FA57CE" w14:textId="77777777" w:rsidTr="00542B60">
        <w:tc>
          <w:tcPr>
            <w:tcW w:w="988" w:type="dxa"/>
          </w:tcPr>
          <w:p w14:paraId="30FF413F" w14:textId="77777777" w:rsidR="009204EF" w:rsidRDefault="009204EF" w:rsidP="00B35422">
            <w:pPr>
              <w:pStyle w:val="Tabletext"/>
            </w:pPr>
            <w:r>
              <w:t>PL8</w:t>
            </w:r>
          </w:p>
        </w:tc>
        <w:tc>
          <w:tcPr>
            <w:tcW w:w="6662" w:type="dxa"/>
          </w:tcPr>
          <w:p w14:paraId="4B76D405" w14:textId="77777777" w:rsidR="009204EF" w:rsidRDefault="009204EF" w:rsidP="00B35422">
            <w:pPr>
              <w:pStyle w:val="Tabletext"/>
            </w:pPr>
            <w:r>
              <w:t>Consider inclusion and accessibility principles in designing codes and standards across all building types.</w:t>
            </w:r>
          </w:p>
        </w:tc>
        <w:tc>
          <w:tcPr>
            <w:tcW w:w="1701" w:type="dxa"/>
          </w:tcPr>
          <w:p w14:paraId="28B09E42" w14:textId="77777777" w:rsidR="009204EF" w:rsidRPr="00D67E15" w:rsidDel="00324E53" w:rsidRDefault="009204EF" w:rsidP="00B35422">
            <w:pPr>
              <w:pStyle w:val="Tabletext"/>
              <w:ind w:left="0"/>
            </w:pPr>
            <w:r>
              <w:t>Not applicable</w:t>
            </w:r>
          </w:p>
        </w:tc>
        <w:tc>
          <w:tcPr>
            <w:tcW w:w="1701" w:type="dxa"/>
          </w:tcPr>
          <w:p w14:paraId="1AB406AC" w14:textId="77777777" w:rsidR="009204EF" w:rsidRDefault="009204EF" w:rsidP="00B35422">
            <w:pPr>
              <w:pStyle w:val="bullet"/>
              <w:numPr>
                <w:ilvl w:val="0"/>
                <w:numId w:val="0"/>
              </w:numPr>
              <w:rPr>
                <w:color w:val="000000"/>
                <w:sz w:val="19"/>
                <w:szCs w:val="19"/>
              </w:rPr>
            </w:pPr>
            <w:r w:rsidRPr="58E9D043">
              <w:rPr>
                <w:color w:val="000000" w:themeColor="text1"/>
                <w:sz w:val="19"/>
                <w:szCs w:val="19"/>
              </w:rPr>
              <w:t xml:space="preserve">Building Policy </w:t>
            </w:r>
          </w:p>
        </w:tc>
        <w:tc>
          <w:tcPr>
            <w:tcW w:w="1417" w:type="dxa"/>
          </w:tcPr>
          <w:p w14:paraId="0770ACE9" w14:textId="77777777" w:rsidR="009204EF" w:rsidRPr="00063BFC" w:rsidRDefault="009204EF" w:rsidP="00B35422">
            <w:pPr>
              <w:pStyle w:val="bullet"/>
              <w:numPr>
                <w:ilvl w:val="0"/>
                <w:numId w:val="0"/>
              </w:numPr>
              <w:rPr>
                <w:sz w:val="19"/>
                <w:szCs w:val="19"/>
              </w:rPr>
            </w:pPr>
            <w:r w:rsidRPr="58E9D043">
              <w:rPr>
                <w:sz w:val="19"/>
                <w:szCs w:val="19"/>
              </w:rPr>
              <w:t>Public Works</w:t>
            </w:r>
          </w:p>
        </w:tc>
        <w:tc>
          <w:tcPr>
            <w:tcW w:w="1701" w:type="dxa"/>
          </w:tcPr>
          <w:p w14:paraId="08A61182" w14:textId="5745E743" w:rsidR="009204EF" w:rsidRPr="00542B60" w:rsidRDefault="009204EF" w:rsidP="00B35422">
            <w:pPr>
              <w:pStyle w:val="bullet"/>
              <w:numPr>
                <w:ilvl w:val="0"/>
                <w:numId w:val="0"/>
              </w:numPr>
              <w:rPr>
                <w:sz w:val="19"/>
                <w:szCs w:val="19"/>
                <w:lang w:val="en-US"/>
              </w:rPr>
            </w:pPr>
            <w:r w:rsidRPr="00542B60">
              <w:rPr>
                <w:sz w:val="19"/>
                <w:szCs w:val="19"/>
                <w:lang w:val="en-US"/>
              </w:rPr>
              <w:t>Inclusive homes and communities</w:t>
            </w:r>
          </w:p>
        </w:tc>
      </w:tr>
      <w:tr w:rsidR="009204EF" w:rsidRPr="00D67E15" w14:paraId="689CDEFC" w14:textId="77777777" w:rsidTr="00542B60">
        <w:tc>
          <w:tcPr>
            <w:tcW w:w="988" w:type="dxa"/>
          </w:tcPr>
          <w:p w14:paraId="500760C9" w14:textId="77777777" w:rsidR="009204EF" w:rsidRDefault="009204EF" w:rsidP="00B35422">
            <w:pPr>
              <w:pStyle w:val="Tabletext"/>
            </w:pPr>
            <w:r>
              <w:t>PL9</w:t>
            </w:r>
          </w:p>
        </w:tc>
        <w:tc>
          <w:tcPr>
            <w:tcW w:w="6662" w:type="dxa"/>
          </w:tcPr>
          <w:p w14:paraId="4618EEE3" w14:textId="77777777" w:rsidR="009204EF" w:rsidRDefault="009204EF" w:rsidP="00B35422">
            <w:pPr>
              <w:pStyle w:val="Tabletext"/>
            </w:pPr>
            <w:r>
              <w:t>Participate in Social Procurement Champion meetings and work in partnership with Social Procurement, QGP to drive further value in categories of spend beyond Building Construction Materials.</w:t>
            </w:r>
          </w:p>
        </w:tc>
        <w:tc>
          <w:tcPr>
            <w:tcW w:w="1701" w:type="dxa"/>
          </w:tcPr>
          <w:p w14:paraId="45915B92" w14:textId="77777777" w:rsidR="009204EF" w:rsidRPr="00D67E15" w:rsidDel="00324E53" w:rsidRDefault="009204EF" w:rsidP="00B35422">
            <w:pPr>
              <w:pStyle w:val="Tabletext"/>
              <w:ind w:left="0"/>
            </w:pPr>
            <w:r>
              <w:t>Number of meetings attended</w:t>
            </w:r>
          </w:p>
        </w:tc>
        <w:tc>
          <w:tcPr>
            <w:tcW w:w="1701" w:type="dxa"/>
          </w:tcPr>
          <w:p w14:paraId="7472D976" w14:textId="77777777" w:rsidR="009204EF" w:rsidRDefault="009204EF" w:rsidP="00B35422">
            <w:pPr>
              <w:pStyle w:val="bullet"/>
              <w:numPr>
                <w:ilvl w:val="0"/>
                <w:numId w:val="0"/>
              </w:numPr>
              <w:rPr>
                <w:color w:val="000000"/>
                <w:sz w:val="19"/>
                <w:szCs w:val="19"/>
              </w:rPr>
            </w:pPr>
            <w:r w:rsidRPr="58E9D043">
              <w:rPr>
                <w:color w:val="000000" w:themeColor="text1"/>
                <w:sz w:val="19"/>
                <w:szCs w:val="19"/>
              </w:rPr>
              <w:t>QBuild</w:t>
            </w:r>
          </w:p>
        </w:tc>
        <w:tc>
          <w:tcPr>
            <w:tcW w:w="1417" w:type="dxa"/>
          </w:tcPr>
          <w:p w14:paraId="750D7382" w14:textId="77777777" w:rsidR="009204EF" w:rsidRPr="00063BFC" w:rsidRDefault="009204EF" w:rsidP="00B35422">
            <w:pPr>
              <w:pStyle w:val="bullet"/>
              <w:numPr>
                <w:ilvl w:val="0"/>
                <w:numId w:val="0"/>
              </w:numPr>
              <w:rPr>
                <w:sz w:val="19"/>
                <w:szCs w:val="19"/>
              </w:rPr>
            </w:pPr>
            <w:r w:rsidRPr="58E9D043">
              <w:rPr>
                <w:sz w:val="19"/>
                <w:szCs w:val="19"/>
              </w:rPr>
              <w:t>Public Works</w:t>
            </w:r>
          </w:p>
        </w:tc>
        <w:tc>
          <w:tcPr>
            <w:tcW w:w="1701" w:type="dxa"/>
          </w:tcPr>
          <w:p w14:paraId="201534F2" w14:textId="0CD7FBC5" w:rsidR="009204EF" w:rsidRPr="00542B60" w:rsidRDefault="009204EF" w:rsidP="00B35422">
            <w:pPr>
              <w:pStyle w:val="bullet"/>
              <w:numPr>
                <w:ilvl w:val="0"/>
                <w:numId w:val="0"/>
              </w:numPr>
              <w:rPr>
                <w:sz w:val="19"/>
                <w:szCs w:val="19"/>
                <w:lang w:val="en-US"/>
              </w:rPr>
            </w:pPr>
            <w:r w:rsidRPr="00542B60">
              <w:rPr>
                <w:sz w:val="19"/>
                <w:szCs w:val="19"/>
                <w:lang w:val="en-US"/>
              </w:rPr>
              <w:t>Employment and financial security</w:t>
            </w:r>
          </w:p>
        </w:tc>
      </w:tr>
    </w:tbl>
    <w:p w14:paraId="652356CA" w14:textId="77777777" w:rsidR="009204EF" w:rsidRDefault="009204EF" w:rsidP="009204EF">
      <w:pPr>
        <w:spacing w:after="0" w:line="240" w:lineRule="auto"/>
        <w:rPr>
          <w:b/>
          <w:bCs/>
          <w:sz w:val="24"/>
          <w:szCs w:val="24"/>
          <w:lang w:eastAsia="en-US"/>
        </w:rPr>
      </w:pPr>
    </w:p>
    <w:p w14:paraId="17C57D25" w14:textId="77777777" w:rsidR="009204EF" w:rsidRPr="00240C63" w:rsidRDefault="009204EF" w:rsidP="009204EF">
      <w:pPr>
        <w:pStyle w:val="Heading2"/>
        <w:numPr>
          <w:ilvl w:val="1"/>
          <w:numId w:val="0"/>
        </w:numPr>
        <w:ind w:left="578" w:hanging="578"/>
        <w:rPr>
          <w:b/>
          <w:bCs/>
          <w:sz w:val="24"/>
          <w:szCs w:val="24"/>
        </w:rPr>
      </w:pPr>
      <w:r w:rsidRPr="58E9D043">
        <w:rPr>
          <w:b/>
          <w:bCs/>
          <w:sz w:val="24"/>
          <w:szCs w:val="24"/>
        </w:rPr>
        <w:t>Our community</w:t>
      </w:r>
    </w:p>
    <w:p w14:paraId="0E5EAE4A" w14:textId="77777777" w:rsidR="009204EF" w:rsidRPr="009E3CCA" w:rsidRDefault="009204EF" w:rsidP="009204EF">
      <w:pPr>
        <w:rPr>
          <w:sz w:val="20"/>
          <w:szCs w:val="20"/>
          <w:lang w:eastAsia="en-US"/>
        </w:rPr>
      </w:pPr>
      <w:r w:rsidRPr="009E3CCA">
        <w:rPr>
          <w:sz w:val="20"/>
          <w:szCs w:val="20"/>
        </w:rPr>
        <w:t>EPW actions and activities that deliver local initiatives should be inclusive of the whole community and the region.</w:t>
      </w:r>
    </w:p>
    <w:tbl>
      <w:tblPr>
        <w:tblStyle w:val="DSPGuide-Table"/>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660"/>
        <w:gridCol w:w="1701"/>
        <w:gridCol w:w="1703"/>
        <w:gridCol w:w="1417"/>
        <w:gridCol w:w="1701"/>
      </w:tblGrid>
      <w:tr w:rsidR="009204EF" w:rsidRPr="00FF38D7" w14:paraId="4586335A" w14:textId="77777777" w:rsidTr="00AC4E86">
        <w:trPr>
          <w:cnfStyle w:val="100000000000" w:firstRow="1" w:lastRow="0" w:firstColumn="0" w:lastColumn="0" w:oddVBand="0" w:evenVBand="0" w:oddHBand="0" w:evenHBand="0" w:firstRowFirstColumn="0" w:firstRowLastColumn="0" w:lastRowFirstColumn="0" w:lastRowLastColumn="0"/>
          <w:trHeight w:val="340"/>
          <w:tblHeader/>
        </w:trPr>
        <w:tc>
          <w:tcPr>
            <w:tcW w:w="349" w:type="pct"/>
          </w:tcPr>
          <w:p w14:paraId="6151090C" w14:textId="77777777" w:rsidR="009204EF" w:rsidRPr="00BF10F9" w:rsidRDefault="009204EF" w:rsidP="00B35422">
            <w:pPr>
              <w:pStyle w:val="Tableheader"/>
              <w:ind w:left="0"/>
              <w:rPr>
                <w:sz w:val="20"/>
                <w:szCs w:val="20"/>
              </w:rPr>
            </w:pPr>
            <w:r w:rsidRPr="00BF10F9">
              <w:rPr>
                <w:sz w:val="20"/>
                <w:szCs w:val="20"/>
              </w:rPr>
              <w:t xml:space="preserve">Action number </w:t>
            </w:r>
          </w:p>
        </w:tc>
        <w:tc>
          <w:tcPr>
            <w:tcW w:w="2350" w:type="pct"/>
          </w:tcPr>
          <w:p w14:paraId="7CD50C17" w14:textId="77777777" w:rsidR="009204EF" w:rsidRDefault="009204EF" w:rsidP="00B35422">
            <w:pPr>
              <w:pStyle w:val="Tableheader"/>
            </w:pPr>
            <w:r>
              <w:t>Action</w:t>
            </w:r>
          </w:p>
        </w:tc>
        <w:tc>
          <w:tcPr>
            <w:tcW w:w="600" w:type="pct"/>
          </w:tcPr>
          <w:p w14:paraId="143DBC6E" w14:textId="77777777" w:rsidR="009204EF" w:rsidRDefault="009204EF" w:rsidP="00B35422">
            <w:pPr>
              <w:pStyle w:val="Tableheader"/>
              <w:ind w:left="0"/>
            </w:pPr>
            <w:r>
              <w:t xml:space="preserve">Performance </w:t>
            </w:r>
            <w:r>
              <w:br/>
              <w:t>indicators*</w:t>
            </w:r>
          </w:p>
        </w:tc>
        <w:tc>
          <w:tcPr>
            <w:tcW w:w="601" w:type="pct"/>
          </w:tcPr>
          <w:p w14:paraId="1F7274FF" w14:textId="77777777" w:rsidR="009204EF" w:rsidRDefault="009204EF" w:rsidP="00B35422">
            <w:pPr>
              <w:pStyle w:val="Tableheader"/>
              <w:jc w:val="both"/>
            </w:pPr>
            <w:r>
              <w:t>Business area</w:t>
            </w:r>
          </w:p>
        </w:tc>
        <w:tc>
          <w:tcPr>
            <w:tcW w:w="500" w:type="pct"/>
          </w:tcPr>
          <w:p w14:paraId="04FF147C" w14:textId="77777777" w:rsidR="009204EF" w:rsidRDefault="009204EF" w:rsidP="00B35422">
            <w:pPr>
              <w:pStyle w:val="Tableheader"/>
            </w:pPr>
            <w:r>
              <w:t>Divisions</w:t>
            </w:r>
          </w:p>
        </w:tc>
        <w:tc>
          <w:tcPr>
            <w:tcW w:w="601" w:type="pct"/>
          </w:tcPr>
          <w:p w14:paraId="48C19537" w14:textId="77777777" w:rsidR="009204EF" w:rsidRDefault="009204EF" w:rsidP="00B35422">
            <w:pPr>
              <w:pStyle w:val="Tableheader"/>
            </w:pPr>
            <w:r w:rsidRPr="00C37C6C">
              <w:rPr>
                <w:sz w:val="20"/>
                <w:szCs w:val="20"/>
              </w:rPr>
              <w:t xml:space="preserve">ADS Outcome </w:t>
            </w:r>
            <w:r>
              <w:rPr>
                <w:sz w:val="20"/>
                <w:szCs w:val="20"/>
              </w:rPr>
              <w:t>a</w:t>
            </w:r>
            <w:r w:rsidRPr="00C37C6C">
              <w:rPr>
                <w:sz w:val="20"/>
                <w:szCs w:val="20"/>
              </w:rPr>
              <w:t>reas</w:t>
            </w:r>
          </w:p>
        </w:tc>
      </w:tr>
      <w:tr w:rsidR="009204EF" w:rsidRPr="00D67E15" w14:paraId="1D035540" w14:textId="77777777" w:rsidTr="00AC4E86">
        <w:tc>
          <w:tcPr>
            <w:tcW w:w="349" w:type="pct"/>
          </w:tcPr>
          <w:p w14:paraId="486CCB67" w14:textId="77777777" w:rsidR="009204EF" w:rsidRDefault="009204EF" w:rsidP="00B35422">
            <w:pPr>
              <w:pStyle w:val="Tabletext"/>
            </w:pPr>
            <w:r>
              <w:t>CO1</w:t>
            </w:r>
          </w:p>
        </w:tc>
        <w:tc>
          <w:tcPr>
            <w:tcW w:w="2350" w:type="pct"/>
          </w:tcPr>
          <w:p w14:paraId="10C401BE" w14:textId="77777777" w:rsidR="009204EF" w:rsidRDefault="009204EF" w:rsidP="00B35422">
            <w:pPr>
              <w:pStyle w:val="Tabletext"/>
            </w:pPr>
            <w:r>
              <w:t>Ensure universally accessible design when planning major department events.</w:t>
            </w:r>
          </w:p>
        </w:tc>
        <w:tc>
          <w:tcPr>
            <w:tcW w:w="600" w:type="pct"/>
          </w:tcPr>
          <w:p w14:paraId="4A8388E6" w14:textId="77777777" w:rsidR="009204EF" w:rsidRDefault="009204EF" w:rsidP="00B35422">
            <w:pPr>
              <w:pStyle w:val="Tabletext"/>
              <w:ind w:left="0"/>
            </w:pPr>
            <w:r>
              <w:t>Number of events</w:t>
            </w:r>
          </w:p>
        </w:tc>
        <w:tc>
          <w:tcPr>
            <w:tcW w:w="601" w:type="pct"/>
          </w:tcPr>
          <w:p w14:paraId="3327C635" w14:textId="77777777" w:rsidR="009204EF" w:rsidRDefault="009204EF" w:rsidP="00B35422">
            <w:pPr>
              <w:pStyle w:val="bullet"/>
              <w:numPr>
                <w:ilvl w:val="0"/>
                <w:numId w:val="0"/>
              </w:numPr>
              <w:rPr>
                <w:sz w:val="19"/>
                <w:szCs w:val="19"/>
              </w:rPr>
            </w:pPr>
            <w:r w:rsidRPr="58E9D043">
              <w:rPr>
                <w:color w:val="000000" w:themeColor="text1"/>
                <w:sz w:val="19"/>
                <w:szCs w:val="19"/>
              </w:rPr>
              <w:t>Communication</w:t>
            </w:r>
          </w:p>
        </w:tc>
        <w:tc>
          <w:tcPr>
            <w:tcW w:w="500" w:type="pct"/>
          </w:tcPr>
          <w:p w14:paraId="17EBB340" w14:textId="77777777" w:rsidR="009204EF" w:rsidRPr="00D67E15" w:rsidRDefault="009204EF" w:rsidP="00B35422">
            <w:pPr>
              <w:pStyle w:val="bullet"/>
              <w:numPr>
                <w:ilvl w:val="0"/>
                <w:numId w:val="0"/>
              </w:numPr>
            </w:pPr>
            <w:r w:rsidRPr="58E9D043">
              <w:rPr>
                <w:sz w:val="19"/>
                <w:szCs w:val="19"/>
              </w:rPr>
              <w:t>CPS</w:t>
            </w:r>
          </w:p>
        </w:tc>
        <w:tc>
          <w:tcPr>
            <w:tcW w:w="601" w:type="pct"/>
          </w:tcPr>
          <w:p w14:paraId="4848697A" w14:textId="5BD72846" w:rsidR="009204EF" w:rsidRPr="00542B60" w:rsidRDefault="009204EF" w:rsidP="00B35422">
            <w:pPr>
              <w:pStyle w:val="bullet"/>
              <w:numPr>
                <w:ilvl w:val="0"/>
                <w:numId w:val="0"/>
              </w:numPr>
              <w:rPr>
                <w:sz w:val="19"/>
                <w:szCs w:val="19"/>
                <w:lang w:val="en-US"/>
              </w:rPr>
            </w:pPr>
            <w:r w:rsidRPr="00542B60">
              <w:rPr>
                <w:sz w:val="19"/>
                <w:szCs w:val="19"/>
                <w:lang w:val="en-US"/>
              </w:rPr>
              <w:t>Personal and community support</w:t>
            </w:r>
          </w:p>
        </w:tc>
      </w:tr>
      <w:tr w:rsidR="009204EF" w:rsidRPr="00D67E15" w14:paraId="71741233" w14:textId="77777777" w:rsidTr="00AC4E86">
        <w:tc>
          <w:tcPr>
            <w:tcW w:w="349" w:type="pct"/>
          </w:tcPr>
          <w:p w14:paraId="23EA2941" w14:textId="77777777" w:rsidR="009204EF" w:rsidRDefault="009204EF" w:rsidP="00B35422">
            <w:pPr>
              <w:pStyle w:val="Tabletext"/>
            </w:pPr>
            <w:r>
              <w:t>CO2</w:t>
            </w:r>
          </w:p>
        </w:tc>
        <w:tc>
          <w:tcPr>
            <w:tcW w:w="2350" w:type="pct"/>
          </w:tcPr>
          <w:p w14:paraId="693D7482" w14:textId="77777777" w:rsidR="009204EF" w:rsidRPr="00EB3DFC" w:rsidRDefault="009204EF" w:rsidP="00B35422">
            <w:pPr>
              <w:pStyle w:val="Tabletext"/>
            </w:pPr>
            <w:r>
              <w:t>Provide information sessions for all EPW Communication teams to ensure people with disability are represented in all EPW campaigns.</w:t>
            </w:r>
          </w:p>
        </w:tc>
        <w:tc>
          <w:tcPr>
            <w:tcW w:w="600" w:type="pct"/>
          </w:tcPr>
          <w:p w14:paraId="75AB8D85" w14:textId="77777777" w:rsidR="009204EF" w:rsidRPr="00CC61D4" w:rsidRDefault="009204EF" w:rsidP="00B35422">
            <w:pPr>
              <w:pStyle w:val="Tabletext"/>
              <w:ind w:left="0"/>
            </w:pPr>
            <w:r>
              <w:t xml:space="preserve">Number of sessions </w:t>
            </w:r>
          </w:p>
        </w:tc>
        <w:tc>
          <w:tcPr>
            <w:tcW w:w="601" w:type="pct"/>
          </w:tcPr>
          <w:p w14:paraId="51610F8A" w14:textId="77777777" w:rsidR="009204EF" w:rsidRPr="00D67E15" w:rsidRDefault="009204EF" w:rsidP="00B35422">
            <w:pPr>
              <w:pStyle w:val="bullet"/>
              <w:numPr>
                <w:ilvl w:val="0"/>
                <w:numId w:val="0"/>
              </w:numPr>
              <w:rPr>
                <w:sz w:val="19"/>
                <w:szCs w:val="19"/>
              </w:rPr>
            </w:pPr>
            <w:r w:rsidRPr="58E9D043">
              <w:rPr>
                <w:color w:val="000000" w:themeColor="text1"/>
                <w:sz w:val="19"/>
                <w:szCs w:val="19"/>
              </w:rPr>
              <w:t>Communication</w:t>
            </w:r>
          </w:p>
        </w:tc>
        <w:tc>
          <w:tcPr>
            <w:tcW w:w="500" w:type="pct"/>
          </w:tcPr>
          <w:p w14:paraId="139E1473" w14:textId="77777777" w:rsidR="009204EF" w:rsidRPr="00D67E15" w:rsidRDefault="009204EF" w:rsidP="00B35422">
            <w:pPr>
              <w:pStyle w:val="bullet"/>
              <w:numPr>
                <w:ilvl w:val="0"/>
                <w:numId w:val="0"/>
              </w:numPr>
              <w:rPr>
                <w:sz w:val="19"/>
                <w:szCs w:val="19"/>
              </w:rPr>
            </w:pPr>
            <w:r w:rsidRPr="58E9D043">
              <w:rPr>
                <w:sz w:val="19"/>
                <w:szCs w:val="19"/>
              </w:rPr>
              <w:t>CPS</w:t>
            </w:r>
          </w:p>
        </w:tc>
        <w:tc>
          <w:tcPr>
            <w:tcW w:w="601" w:type="pct"/>
          </w:tcPr>
          <w:p w14:paraId="32834829" w14:textId="65B940CB" w:rsidR="009204EF" w:rsidRPr="00542B60" w:rsidRDefault="009204EF" w:rsidP="00B35422">
            <w:pPr>
              <w:pStyle w:val="bullet"/>
              <w:numPr>
                <w:ilvl w:val="0"/>
                <w:numId w:val="0"/>
              </w:numPr>
              <w:tabs>
                <w:tab w:val="num" w:pos="360"/>
              </w:tabs>
              <w:rPr>
                <w:sz w:val="19"/>
                <w:szCs w:val="19"/>
                <w:lang w:val="en-US"/>
              </w:rPr>
            </w:pPr>
            <w:r w:rsidRPr="00542B60">
              <w:rPr>
                <w:sz w:val="19"/>
                <w:szCs w:val="19"/>
                <w:lang w:val="en-US"/>
              </w:rPr>
              <w:t>Personal and community support</w:t>
            </w:r>
          </w:p>
        </w:tc>
      </w:tr>
      <w:tr w:rsidR="009204EF" w:rsidRPr="00D67E15" w14:paraId="255C161D" w14:textId="77777777" w:rsidTr="00AC4E86">
        <w:tc>
          <w:tcPr>
            <w:tcW w:w="349" w:type="pct"/>
          </w:tcPr>
          <w:p w14:paraId="0CEB2F68" w14:textId="77777777" w:rsidR="009204EF" w:rsidRDefault="009204EF" w:rsidP="00B35422">
            <w:pPr>
              <w:pStyle w:val="Tabletext"/>
            </w:pPr>
            <w:r>
              <w:t>CO3</w:t>
            </w:r>
          </w:p>
        </w:tc>
        <w:tc>
          <w:tcPr>
            <w:tcW w:w="2350" w:type="pct"/>
          </w:tcPr>
          <w:p w14:paraId="35866C71" w14:textId="77777777" w:rsidR="009204EF" w:rsidRDefault="009204EF" w:rsidP="00B35422">
            <w:pPr>
              <w:pStyle w:val="Tabletext"/>
            </w:pPr>
            <w:r>
              <w:t>Deliberate consideration of inclusion principles in the design of engagement and consultation processes.</w:t>
            </w:r>
          </w:p>
        </w:tc>
        <w:tc>
          <w:tcPr>
            <w:tcW w:w="600" w:type="pct"/>
          </w:tcPr>
          <w:p w14:paraId="00FB05B8" w14:textId="77777777" w:rsidR="009204EF" w:rsidRDefault="009204EF" w:rsidP="00B35422">
            <w:pPr>
              <w:pStyle w:val="Tabletext"/>
              <w:ind w:left="0"/>
            </w:pPr>
            <w:r>
              <w:t>Not applicable</w:t>
            </w:r>
          </w:p>
        </w:tc>
        <w:tc>
          <w:tcPr>
            <w:tcW w:w="601" w:type="pct"/>
          </w:tcPr>
          <w:p w14:paraId="39170F14" w14:textId="77777777" w:rsidR="009204EF" w:rsidRDefault="009204EF" w:rsidP="00B35422">
            <w:pPr>
              <w:pStyle w:val="bullet"/>
              <w:numPr>
                <w:ilvl w:val="0"/>
                <w:numId w:val="0"/>
              </w:numPr>
              <w:rPr>
                <w:color w:val="000000" w:themeColor="text1"/>
                <w:sz w:val="19"/>
                <w:szCs w:val="19"/>
              </w:rPr>
            </w:pPr>
            <w:r>
              <w:rPr>
                <w:color w:val="000000" w:themeColor="text1"/>
                <w:sz w:val="19"/>
                <w:szCs w:val="19"/>
              </w:rPr>
              <w:t>All areas</w:t>
            </w:r>
          </w:p>
        </w:tc>
        <w:tc>
          <w:tcPr>
            <w:tcW w:w="500" w:type="pct"/>
          </w:tcPr>
          <w:p w14:paraId="44AA44B0" w14:textId="77777777" w:rsidR="009204EF" w:rsidRDefault="009204EF" w:rsidP="00B35422">
            <w:pPr>
              <w:pStyle w:val="bullet"/>
              <w:numPr>
                <w:ilvl w:val="0"/>
                <w:numId w:val="0"/>
              </w:numPr>
              <w:rPr>
                <w:sz w:val="19"/>
                <w:szCs w:val="19"/>
              </w:rPr>
            </w:pPr>
            <w:r>
              <w:rPr>
                <w:sz w:val="19"/>
                <w:szCs w:val="19"/>
              </w:rPr>
              <w:t>All EPW</w:t>
            </w:r>
          </w:p>
        </w:tc>
        <w:tc>
          <w:tcPr>
            <w:tcW w:w="601" w:type="pct"/>
          </w:tcPr>
          <w:p w14:paraId="5319F1BF" w14:textId="53D7BBCD" w:rsidR="009204EF" w:rsidRPr="00542B60" w:rsidRDefault="009204EF" w:rsidP="00B35422">
            <w:pPr>
              <w:pStyle w:val="bullet"/>
              <w:numPr>
                <w:ilvl w:val="0"/>
                <w:numId w:val="0"/>
              </w:numPr>
              <w:tabs>
                <w:tab w:val="num" w:pos="360"/>
              </w:tabs>
              <w:rPr>
                <w:sz w:val="19"/>
                <w:szCs w:val="19"/>
                <w:lang w:val="en-US"/>
              </w:rPr>
            </w:pPr>
            <w:r w:rsidRPr="00542B60">
              <w:rPr>
                <w:sz w:val="19"/>
                <w:szCs w:val="19"/>
                <w:lang w:val="en-US"/>
              </w:rPr>
              <w:t>Inclusive homes and communities</w:t>
            </w:r>
          </w:p>
        </w:tc>
      </w:tr>
    </w:tbl>
    <w:p w14:paraId="58C91553" w14:textId="77777777" w:rsidR="009204EF" w:rsidRDefault="009204EF" w:rsidP="009204EF">
      <w:pPr>
        <w:rPr>
          <w:b/>
          <w:bCs/>
          <w:i/>
          <w:iCs/>
          <w:lang w:eastAsia="en-US"/>
        </w:rPr>
      </w:pPr>
    </w:p>
    <w:p w14:paraId="3543F33C" w14:textId="77777777" w:rsidR="009204EF" w:rsidRDefault="009204EF" w:rsidP="009204EF">
      <w:pPr>
        <w:spacing w:after="0" w:line="240" w:lineRule="auto"/>
        <w:rPr>
          <w:b/>
          <w:color w:val="C45911" w:themeColor="accent2" w:themeShade="BF"/>
          <w:sz w:val="24"/>
          <w:szCs w:val="24"/>
        </w:rPr>
      </w:pPr>
    </w:p>
    <w:p w14:paraId="77FB2C02" w14:textId="0AD715B9" w:rsidR="00C35093" w:rsidRPr="0053456A" w:rsidRDefault="009204EF" w:rsidP="009204EF">
      <w:pPr>
        <w:rPr>
          <w:sz w:val="20"/>
          <w:szCs w:val="20"/>
        </w:rPr>
      </w:pPr>
      <w:r>
        <w:rPr>
          <w:sz w:val="20"/>
          <w:szCs w:val="20"/>
        </w:rPr>
        <w:t xml:space="preserve">* Note: In the initial year of EPW DSP implementation, baseline data will be collected to mature performance </w:t>
      </w:r>
      <w:r w:rsidRPr="72D52F9D">
        <w:rPr>
          <w:sz w:val="20"/>
          <w:szCs w:val="20"/>
        </w:rPr>
        <w:t>measures</w:t>
      </w:r>
      <w:r>
        <w:rPr>
          <w:sz w:val="20"/>
          <w:szCs w:val="20"/>
        </w:rPr>
        <w:t xml:space="preserve"> </w:t>
      </w:r>
      <w:proofErr w:type="gramStart"/>
      <w:r>
        <w:rPr>
          <w:sz w:val="20"/>
          <w:szCs w:val="20"/>
        </w:rPr>
        <w:t>in order</w:t>
      </w:r>
      <w:r w:rsidRPr="006E040A">
        <w:rPr>
          <w:sz w:val="20"/>
          <w:szCs w:val="20"/>
        </w:rPr>
        <w:t xml:space="preserve"> to</w:t>
      </w:r>
      <w:proofErr w:type="gramEnd"/>
      <w:r w:rsidRPr="006E040A">
        <w:rPr>
          <w:sz w:val="20"/>
          <w:szCs w:val="20"/>
        </w:rPr>
        <w:t xml:space="preserve"> demonstrate whether the desired outcomes are being achieved.</w:t>
      </w:r>
    </w:p>
    <w:p w14:paraId="0EF7A2F6" w14:textId="77777777" w:rsidR="009204EF" w:rsidRDefault="009204EF" w:rsidP="00C35093">
      <w:pPr>
        <w:sectPr w:rsidR="009204EF" w:rsidSect="009204EF">
          <w:pgSz w:w="16838" w:h="11906" w:orient="landscape"/>
          <w:pgMar w:top="1440" w:right="1440" w:bottom="1440" w:left="1440" w:header="708" w:footer="708" w:gutter="0"/>
          <w:cols w:space="708"/>
          <w:docGrid w:linePitch="360"/>
        </w:sectPr>
      </w:pPr>
    </w:p>
    <w:p w14:paraId="1A9DF804" w14:textId="77777777" w:rsidR="009204EF" w:rsidRPr="00B1430A" w:rsidRDefault="009204EF" w:rsidP="009204EF">
      <w:pPr>
        <w:spacing w:after="0" w:line="240" w:lineRule="auto"/>
        <w:rPr>
          <w:b/>
          <w:bCs/>
          <w:sz w:val="24"/>
          <w:szCs w:val="24"/>
        </w:rPr>
      </w:pPr>
      <w:r w:rsidRPr="00B1430A">
        <w:rPr>
          <w:b/>
          <w:bCs/>
          <w:sz w:val="24"/>
          <w:szCs w:val="24"/>
        </w:rPr>
        <w:lastRenderedPageBreak/>
        <w:t>Appendix A</w:t>
      </w:r>
    </w:p>
    <w:p w14:paraId="394081C7" w14:textId="77777777" w:rsidR="009204EF" w:rsidRPr="00B1430A" w:rsidRDefault="009204EF" w:rsidP="009204EF">
      <w:pPr>
        <w:spacing w:after="0" w:line="240" w:lineRule="auto"/>
        <w:rPr>
          <w:b/>
          <w:bCs/>
          <w:sz w:val="24"/>
          <w:szCs w:val="24"/>
          <w:lang w:eastAsia="en-US"/>
        </w:rPr>
      </w:pPr>
    </w:p>
    <w:p w14:paraId="7ABF89D7" w14:textId="77777777" w:rsidR="009204EF" w:rsidRPr="00B1430A" w:rsidRDefault="009204EF" w:rsidP="009204EF">
      <w:pPr>
        <w:spacing w:after="0" w:line="240" w:lineRule="auto"/>
        <w:rPr>
          <w:b/>
          <w:bCs/>
          <w:sz w:val="24"/>
          <w:szCs w:val="24"/>
          <w:lang w:eastAsia="en-US"/>
        </w:rPr>
      </w:pPr>
      <w:r w:rsidRPr="00B1430A">
        <w:rPr>
          <w:b/>
          <w:bCs/>
          <w:sz w:val="24"/>
          <w:szCs w:val="24"/>
        </w:rPr>
        <w:t>State Disability Plan 2022-2027: Building Blocks</w:t>
      </w:r>
    </w:p>
    <w:p w14:paraId="2117FDD6" w14:textId="77777777" w:rsidR="009204EF" w:rsidRDefault="009204EF" w:rsidP="009204EF">
      <w:pPr>
        <w:spacing w:after="0" w:line="240" w:lineRule="auto"/>
        <w:rPr>
          <w:lang w:eastAsia="en-US"/>
        </w:rPr>
      </w:pPr>
    </w:p>
    <w:p w14:paraId="3071B09E" w14:textId="77777777" w:rsidR="009204EF" w:rsidRPr="0053456A" w:rsidRDefault="009204EF" w:rsidP="009204EF">
      <w:pPr>
        <w:spacing w:line="240" w:lineRule="auto"/>
        <w:rPr>
          <w:sz w:val="20"/>
          <w:szCs w:val="20"/>
          <w:lang w:eastAsia="en-US"/>
        </w:rPr>
      </w:pPr>
      <w:r w:rsidRPr="0053456A">
        <w:rPr>
          <w:sz w:val="20"/>
          <w:szCs w:val="20"/>
        </w:rPr>
        <w:t xml:space="preserve">The QDP Building Blocks guide us in identifying the actions we need to take to work towards what is most important to people with disability in Queensland. </w:t>
      </w:r>
    </w:p>
    <w:p w14:paraId="149167E1"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Co-design</w:t>
      </w:r>
    </w:p>
    <w:p w14:paraId="294AEB58" w14:textId="77777777" w:rsidR="009204EF" w:rsidRPr="0053456A" w:rsidRDefault="009204EF" w:rsidP="009204EF">
      <w:pPr>
        <w:spacing w:line="240" w:lineRule="auto"/>
        <w:rPr>
          <w:sz w:val="20"/>
          <w:szCs w:val="20"/>
          <w:lang w:eastAsia="en-US"/>
        </w:rPr>
      </w:pPr>
      <w:r w:rsidRPr="0053456A">
        <w:rPr>
          <w:sz w:val="20"/>
          <w:szCs w:val="20"/>
        </w:rPr>
        <w:t xml:space="preserve">EPW will actively involve people with disability in the decisions, development, design and implementation of policies, legislation and projects that impact the lives of people with disability. We will empower individuals and communities by iteratively working together to shape solutions and person-centred responses. </w:t>
      </w:r>
    </w:p>
    <w:p w14:paraId="3A33692F"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Human rights</w:t>
      </w:r>
    </w:p>
    <w:p w14:paraId="6156FE39" w14:textId="77777777" w:rsidR="009204EF" w:rsidRPr="0053456A" w:rsidRDefault="009204EF" w:rsidP="009204EF">
      <w:pPr>
        <w:spacing w:line="240" w:lineRule="auto"/>
        <w:rPr>
          <w:sz w:val="20"/>
          <w:szCs w:val="20"/>
          <w:lang w:eastAsia="en-US"/>
        </w:rPr>
      </w:pPr>
      <w:r w:rsidRPr="0053456A">
        <w:rPr>
          <w:sz w:val="20"/>
          <w:szCs w:val="20"/>
        </w:rPr>
        <w:t xml:space="preserve">EPW will promote and protect the rights of people with disability in everything we do. We strive to achieve high standards of design and implementation, with each decision point consistently and genuinely considering and applying the human rights of people with disability. </w:t>
      </w:r>
    </w:p>
    <w:p w14:paraId="6163BBDA"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Measurement of outcomes and impact</w:t>
      </w:r>
    </w:p>
    <w:p w14:paraId="4A2A90A8" w14:textId="77777777" w:rsidR="009204EF" w:rsidRPr="0053456A" w:rsidRDefault="009204EF" w:rsidP="009204EF">
      <w:pPr>
        <w:spacing w:line="240" w:lineRule="auto"/>
        <w:rPr>
          <w:sz w:val="20"/>
          <w:szCs w:val="20"/>
          <w:lang w:eastAsia="en-US"/>
        </w:rPr>
      </w:pPr>
      <w:r w:rsidRPr="0053456A">
        <w:rPr>
          <w:sz w:val="20"/>
          <w:szCs w:val="20"/>
        </w:rPr>
        <w:t xml:space="preserve">EPW will implement greater accountability, </w:t>
      </w:r>
      <w:proofErr w:type="gramStart"/>
      <w:r w:rsidRPr="0053456A">
        <w:rPr>
          <w:sz w:val="20"/>
          <w:szCs w:val="20"/>
        </w:rPr>
        <w:t>governance</w:t>
      </w:r>
      <w:proofErr w:type="gramEnd"/>
      <w:r w:rsidRPr="0053456A">
        <w:rPr>
          <w:sz w:val="20"/>
          <w:szCs w:val="20"/>
        </w:rPr>
        <w:t xml:space="preserve"> and reporting arrangements to measure, review and monitor the outcomes of inclusion in our service delivery. Our data collection will be ethical and respect the right to privacy. Measuring outcomes and impacts will enable us to formulate and implement best practice policies, </w:t>
      </w:r>
      <w:proofErr w:type="gramStart"/>
      <w:r w:rsidRPr="0053456A">
        <w:rPr>
          <w:sz w:val="20"/>
          <w:szCs w:val="20"/>
        </w:rPr>
        <w:t>programs</w:t>
      </w:r>
      <w:proofErr w:type="gramEnd"/>
      <w:r w:rsidRPr="0053456A">
        <w:rPr>
          <w:sz w:val="20"/>
          <w:szCs w:val="20"/>
        </w:rPr>
        <w:t xml:space="preserve"> and actions, and make adjustments when required.</w:t>
      </w:r>
    </w:p>
    <w:p w14:paraId="5DFC5D8A"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Cultural and systems change</w:t>
      </w:r>
    </w:p>
    <w:p w14:paraId="359D4F2D" w14:textId="77777777" w:rsidR="009204EF" w:rsidRPr="0053456A" w:rsidRDefault="009204EF" w:rsidP="009204EF">
      <w:pPr>
        <w:spacing w:line="240" w:lineRule="auto"/>
        <w:rPr>
          <w:sz w:val="20"/>
          <w:szCs w:val="20"/>
          <w:lang w:eastAsia="en-US"/>
        </w:rPr>
      </w:pPr>
      <w:r w:rsidRPr="0053456A">
        <w:rPr>
          <w:sz w:val="20"/>
          <w:szCs w:val="20"/>
        </w:rPr>
        <w:t xml:space="preserve">EPW’s measurable accountability demonstrates our commitment to cultural and systems change towards people with disability. We will grow inclusion by highlighting the capabilities of people with disability, removing structural and systemic barriers, mainstreaming disability opportunities and challenges, and reframing organisational cultures, </w:t>
      </w:r>
      <w:proofErr w:type="gramStart"/>
      <w:r w:rsidRPr="0053456A">
        <w:rPr>
          <w:sz w:val="20"/>
          <w:szCs w:val="20"/>
        </w:rPr>
        <w:t>attitudes</w:t>
      </w:r>
      <w:proofErr w:type="gramEnd"/>
      <w:r w:rsidRPr="0053456A">
        <w:rPr>
          <w:sz w:val="20"/>
          <w:szCs w:val="20"/>
        </w:rPr>
        <w:t xml:space="preserve"> and perceptions.</w:t>
      </w:r>
    </w:p>
    <w:p w14:paraId="6EF3353B" w14:textId="77777777" w:rsidR="009204EF" w:rsidRPr="0053456A" w:rsidRDefault="009204EF" w:rsidP="009204EF">
      <w:pPr>
        <w:rPr>
          <w:b/>
          <w:bCs/>
          <w:sz w:val="24"/>
          <w:szCs w:val="24"/>
        </w:rPr>
      </w:pPr>
      <w:r w:rsidRPr="0053456A">
        <w:rPr>
          <w:b/>
          <w:bCs/>
          <w:sz w:val="24"/>
          <w:szCs w:val="24"/>
        </w:rPr>
        <w:t>State Disability Plan 2022-2027: Impact areas</w:t>
      </w:r>
    </w:p>
    <w:p w14:paraId="034E0801" w14:textId="77777777" w:rsidR="009204EF" w:rsidRPr="0053456A" w:rsidRDefault="009204EF" w:rsidP="009204EF">
      <w:pPr>
        <w:spacing w:line="240" w:lineRule="auto"/>
        <w:rPr>
          <w:sz w:val="20"/>
          <w:szCs w:val="20"/>
          <w:lang w:eastAsia="en-US"/>
        </w:rPr>
      </w:pPr>
      <w:r w:rsidRPr="0053456A">
        <w:rPr>
          <w:sz w:val="20"/>
          <w:szCs w:val="20"/>
        </w:rPr>
        <w:t xml:space="preserve">Impact areas determine where actions will provide the most benefit to achieve positive and lasting impacts, make sure the plan is inclusive of the entire disability community, and addresses barriers to inclusion across the impact areas. </w:t>
      </w:r>
    </w:p>
    <w:p w14:paraId="6395D3AC"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Our service users</w:t>
      </w:r>
    </w:p>
    <w:p w14:paraId="05E64801" w14:textId="77777777" w:rsidR="009204EF" w:rsidRPr="0053456A" w:rsidRDefault="009204EF" w:rsidP="009204EF">
      <w:pPr>
        <w:spacing w:line="240" w:lineRule="auto"/>
        <w:rPr>
          <w:sz w:val="20"/>
          <w:szCs w:val="20"/>
          <w:lang w:eastAsia="en-US"/>
        </w:rPr>
      </w:pPr>
      <w:r w:rsidRPr="0053456A">
        <w:rPr>
          <w:sz w:val="20"/>
          <w:szCs w:val="20"/>
        </w:rPr>
        <w:t xml:space="preserve">This impact area recognises that services must be inclusive of all people, as well as being safe and of high quality. Services must also provide an excellent, person-centred, user experience. This includes the development and delivery of disability services for First Nations peoples, by First Nations peoples. </w:t>
      </w:r>
    </w:p>
    <w:p w14:paraId="6E6502A9" w14:textId="77777777" w:rsidR="009204EF" w:rsidRPr="0053456A" w:rsidRDefault="009204EF" w:rsidP="009204EF">
      <w:pPr>
        <w:spacing w:line="240" w:lineRule="auto"/>
        <w:rPr>
          <w:sz w:val="20"/>
          <w:szCs w:val="20"/>
          <w:lang w:eastAsia="en-US"/>
        </w:rPr>
      </w:pPr>
      <w:r w:rsidRPr="0053456A">
        <w:rPr>
          <w:sz w:val="20"/>
          <w:szCs w:val="20"/>
        </w:rPr>
        <w:t>It also includes understanding that people with disability have different levels of digital literacy, access to technology and connectivity that impact on their inclusion.</w:t>
      </w:r>
    </w:p>
    <w:p w14:paraId="3424055B" w14:textId="77777777" w:rsidR="009204EF" w:rsidRPr="0053456A" w:rsidRDefault="009204EF" w:rsidP="009204EF">
      <w:pPr>
        <w:spacing w:line="240" w:lineRule="auto"/>
        <w:rPr>
          <w:sz w:val="20"/>
          <w:szCs w:val="20"/>
          <w:lang w:eastAsia="en-US"/>
        </w:rPr>
      </w:pPr>
      <w:r w:rsidRPr="0053456A">
        <w:rPr>
          <w:sz w:val="20"/>
          <w:szCs w:val="20"/>
        </w:rPr>
        <w:t xml:space="preserve">This impact area also recognises that many people's experiences as a person with disability are multi-layered and shaped by not only their disability but their age, sex, gender, gender identity, sexual orientation, intersex status, ethnic </w:t>
      </w:r>
      <w:proofErr w:type="gramStart"/>
      <w:r w:rsidRPr="0053456A">
        <w:rPr>
          <w:sz w:val="20"/>
          <w:szCs w:val="20"/>
        </w:rPr>
        <w:t>origin</w:t>
      </w:r>
      <w:proofErr w:type="gramEnd"/>
      <w:r w:rsidRPr="0053456A">
        <w:rPr>
          <w:sz w:val="20"/>
          <w:szCs w:val="20"/>
        </w:rPr>
        <w:t xml:space="preserve"> or race.</w:t>
      </w:r>
    </w:p>
    <w:p w14:paraId="64EE468D"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 xml:space="preserve">Our people </w:t>
      </w:r>
    </w:p>
    <w:p w14:paraId="24158EE7" w14:textId="77777777" w:rsidR="009204EF" w:rsidRPr="0053456A" w:rsidRDefault="009204EF" w:rsidP="009204EF">
      <w:pPr>
        <w:spacing w:line="240" w:lineRule="auto"/>
        <w:rPr>
          <w:sz w:val="20"/>
          <w:szCs w:val="20"/>
          <w:lang w:eastAsia="en-US"/>
        </w:rPr>
      </w:pPr>
      <w:r w:rsidRPr="0053456A">
        <w:rPr>
          <w:sz w:val="20"/>
          <w:szCs w:val="20"/>
        </w:rPr>
        <w:t>This impact area recognises the subjective importance and value of social and economic participation by people with disability, a key part of which is inclusive workplaces and workforces – this is integral to building the workforce participation of people with disability, which will help build financial security.</w:t>
      </w:r>
    </w:p>
    <w:p w14:paraId="6A17FB2C"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t>Our places</w:t>
      </w:r>
    </w:p>
    <w:p w14:paraId="350BBD39" w14:textId="77777777" w:rsidR="009204EF" w:rsidRPr="0053456A" w:rsidRDefault="009204EF" w:rsidP="009204EF">
      <w:pPr>
        <w:spacing w:line="240" w:lineRule="auto"/>
        <w:rPr>
          <w:sz w:val="20"/>
          <w:szCs w:val="20"/>
          <w:lang w:eastAsia="en-US"/>
        </w:rPr>
      </w:pPr>
      <w:r w:rsidRPr="0053456A">
        <w:rPr>
          <w:sz w:val="20"/>
          <w:szCs w:val="20"/>
        </w:rPr>
        <w:t>This impact area recognises that people with disability live in all regions across Queensland, meaning that all public places must be accessible for people of all abilities.</w:t>
      </w:r>
    </w:p>
    <w:p w14:paraId="1E66FF50" w14:textId="77777777" w:rsidR="009204EF" w:rsidRPr="0053456A" w:rsidRDefault="009204EF" w:rsidP="009204EF">
      <w:pPr>
        <w:pStyle w:val="Heading2"/>
        <w:numPr>
          <w:ilvl w:val="1"/>
          <w:numId w:val="0"/>
        </w:numPr>
        <w:spacing w:line="240" w:lineRule="auto"/>
        <w:ind w:left="578" w:hanging="578"/>
        <w:rPr>
          <w:b/>
          <w:bCs/>
          <w:sz w:val="20"/>
          <w:szCs w:val="20"/>
        </w:rPr>
      </w:pPr>
      <w:r w:rsidRPr="0053456A">
        <w:rPr>
          <w:b/>
          <w:bCs/>
          <w:sz w:val="20"/>
          <w:szCs w:val="20"/>
        </w:rPr>
        <w:lastRenderedPageBreak/>
        <w:t>Our community</w:t>
      </w:r>
    </w:p>
    <w:p w14:paraId="705D5E1A" w14:textId="77777777" w:rsidR="009204EF" w:rsidRPr="0053456A" w:rsidRDefault="009204EF" w:rsidP="009204EF">
      <w:pPr>
        <w:spacing w:line="240" w:lineRule="auto"/>
        <w:rPr>
          <w:sz w:val="20"/>
          <w:szCs w:val="20"/>
        </w:rPr>
      </w:pPr>
      <w:r w:rsidRPr="0053456A">
        <w:rPr>
          <w:sz w:val="20"/>
          <w:szCs w:val="20"/>
        </w:rPr>
        <w:t>This impact area recognises that the actions and activities of government and community-based organisations to deliver local initiatives should be inclusive of the whole community, and the requirements of those in all regions.</w:t>
      </w:r>
    </w:p>
    <w:p w14:paraId="388658E2" w14:textId="30772288" w:rsidR="009204EF" w:rsidRDefault="009204EF" w:rsidP="009204EF">
      <w:pPr>
        <w:spacing w:after="0" w:line="240" w:lineRule="auto"/>
        <w:rPr>
          <w:sz w:val="20"/>
          <w:szCs w:val="20"/>
        </w:rPr>
      </w:pPr>
      <w:r w:rsidRPr="0053456A">
        <w:rPr>
          <w:sz w:val="20"/>
          <w:szCs w:val="20"/>
        </w:rPr>
        <w:t xml:space="preserve">Queensland’s unique geography and history makes it </w:t>
      </w:r>
      <w:proofErr w:type="gramStart"/>
      <w:r w:rsidRPr="0053456A">
        <w:rPr>
          <w:sz w:val="20"/>
          <w:szCs w:val="20"/>
        </w:rPr>
        <w:t>all the more</w:t>
      </w:r>
      <w:proofErr w:type="gramEnd"/>
      <w:r w:rsidRPr="0053456A">
        <w:rPr>
          <w:sz w:val="20"/>
          <w:szCs w:val="20"/>
        </w:rPr>
        <w:t xml:space="preserve"> important that our programs and services address the additional issues that people with disability in regional and remote locations may face. These issues include access to appropriate healthcare and other services, workforce development and training opportunities and the vast distances the people travel to participate i</w:t>
      </w:r>
      <w:r w:rsidRPr="00B1430A">
        <w:rPr>
          <w:sz w:val="20"/>
          <w:szCs w:val="20"/>
        </w:rPr>
        <w:t>n community activities.</w:t>
      </w:r>
    </w:p>
    <w:p w14:paraId="150CB9C2" w14:textId="77777777" w:rsidR="009204EF" w:rsidRPr="00C0526E" w:rsidRDefault="009204EF" w:rsidP="009204EF">
      <w:pPr>
        <w:rPr>
          <w:b/>
          <w:bCs/>
          <w:sz w:val="24"/>
          <w:szCs w:val="24"/>
        </w:rPr>
      </w:pPr>
      <w:r w:rsidRPr="00C0526E">
        <w:rPr>
          <w:b/>
          <w:bCs/>
          <w:sz w:val="24"/>
          <w:szCs w:val="24"/>
        </w:rPr>
        <w:t>Appendix B</w:t>
      </w:r>
    </w:p>
    <w:p w14:paraId="243F1148" w14:textId="77777777" w:rsidR="009204EF" w:rsidRPr="00C0526E" w:rsidRDefault="009204EF" w:rsidP="009204EF">
      <w:pPr>
        <w:pStyle w:val="Heading2"/>
        <w:numPr>
          <w:ilvl w:val="1"/>
          <w:numId w:val="0"/>
        </w:numPr>
        <w:ind w:left="578" w:hanging="578"/>
        <w:rPr>
          <w:b/>
          <w:bCs/>
          <w:sz w:val="24"/>
          <w:szCs w:val="24"/>
        </w:rPr>
      </w:pPr>
      <w:r>
        <w:rPr>
          <w:b/>
          <w:bCs/>
          <w:sz w:val="24"/>
          <w:szCs w:val="24"/>
        </w:rPr>
        <w:t>Progress report:</w:t>
      </w:r>
      <w:r w:rsidRPr="00C0526E">
        <w:rPr>
          <w:b/>
          <w:bCs/>
          <w:sz w:val="24"/>
          <w:szCs w:val="24"/>
        </w:rPr>
        <w:t xml:space="preserve"> Disability Service Plan 2021-22</w:t>
      </w:r>
    </w:p>
    <w:p w14:paraId="2286CDC7" w14:textId="77777777" w:rsidR="009204EF" w:rsidRPr="00B1430A" w:rsidRDefault="009204EF" w:rsidP="009204EF">
      <w:pPr>
        <w:spacing w:after="120" w:line="240" w:lineRule="auto"/>
        <w:rPr>
          <w:sz w:val="20"/>
          <w:szCs w:val="20"/>
          <w:lang w:eastAsia="en-US"/>
        </w:rPr>
      </w:pPr>
      <w:r w:rsidRPr="00B1430A">
        <w:rPr>
          <w:sz w:val="20"/>
          <w:szCs w:val="20"/>
        </w:rPr>
        <w:t xml:space="preserve">EPW’s Disability Service Plan 2021-22 detailed the department’s ongoing commitment to supporting people with disability and the disability service sector. The 2021-22 plan focussed on three key priority areas. EPW achievements against these </w:t>
      </w:r>
      <w:r>
        <w:rPr>
          <w:sz w:val="20"/>
          <w:szCs w:val="20"/>
        </w:rPr>
        <w:t xml:space="preserve">priority </w:t>
      </w:r>
      <w:r w:rsidRPr="00B1430A">
        <w:rPr>
          <w:sz w:val="20"/>
          <w:szCs w:val="20"/>
        </w:rPr>
        <w:t>areas are listed below.</w:t>
      </w:r>
    </w:p>
    <w:p w14:paraId="2890FDDF" w14:textId="77777777" w:rsidR="009204EF" w:rsidRPr="000D470E" w:rsidRDefault="009204EF" w:rsidP="009204EF">
      <w:pPr>
        <w:spacing w:after="120" w:line="240" w:lineRule="auto"/>
        <w:rPr>
          <w:b/>
          <w:bCs/>
          <w:sz w:val="20"/>
          <w:szCs w:val="20"/>
          <w:lang w:eastAsia="en-US"/>
        </w:rPr>
      </w:pPr>
      <w:r w:rsidRPr="000D470E">
        <w:rPr>
          <w:b/>
          <w:bCs/>
          <w:sz w:val="20"/>
          <w:szCs w:val="20"/>
        </w:rPr>
        <w:t>Priority 1: High quality engagement and communication</w:t>
      </w:r>
    </w:p>
    <w:p w14:paraId="5D681ECA"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Completed review </w:t>
      </w:r>
      <w:r>
        <w:rPr>
          <w:sz w:val="20"/>
          <w:szCs w:val="20"/>
        </w:rPr>
        <w:t xml:space="preserve">of </w:t>
      </w:r>
      <w:r w:rsidRPr="00BF10F9">
        <w:rPr>
          <w:sz w:val="20"/>
          <w:szCs w:val="20"/>
        </w:rPr>
        <w:t xml:space="preserve">online content and interactions </w:t>
      </w:r>
      <w:r w:rsidRPr="00826373">
        <w:rPr>
          <w:sz w:val="20"/>
          <w:szCs w:val="20"/>
        </w:rPr>
        <w:t xml:space="preserve">to ensure </w:t>
      </w:r>
      <w:r w:rsidRPr="00493DA8">
        <w:rPr>
          <w:sz w:val="20"/>
          <w:szCs w:val="20"/>
        </w:rPr>
        <w:t>all</w:t>
      </w:r>
      <w:r w:rsidRPr="000D470E">
        <w:rPr>
          <w:sz w:val="20"/>
          <w:szCs w:val="20"/>
        </w:rPr>
        <w:t xml:space="preserve"> </w:t>
      </w:r>
      <w:r w:rsidRPr="00BF10F9">
        <w:rPr>
          <w:sz w:val="20"/>
          <w:szCs w:val="20"/>
        </w:rPr>
        <w:t xml:space="preserve">are accessible in line with EPW Online publishing policy. </w:t>
      </w:r>
    </w:p>
    <w:p w14:paraId="7E720FDC"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Participat</w:t>
      </w:r>
      <w:r>
        <w:rPr>
          <w:sz w:val="20"/>
          <w:szCs w:val="20"/>
        </w:rPr>
        <w:t>ed</w:t>
      </w:r>
      <w:r w:rsidRPr="00BF10F9">
        <w:rPr>
          <w:sz w:val="20"/>
          <w:szCs w:val="20"/>
        </w:rPr>
        <w:t xml:space="preserve"> in whole-of-government accessible digital services information sessions </w:t>
      </w:r>
      <w:r>
        <w:rPr>
          <w:sz w:val="20"/>
          <w:szCs w:val="20"/>
        </w:rPr>
        <w:t>(</w:t>
      </w:r>
      <w:r w:rsidRPr="00BF10F9">
        <w:rPr>
          <w:sz w:val="20"/>
          <w:szCs w:val="20"/>
        </w:rPr>
        <w:t>Online Team, Communication unit</w:t>
      </w:r>
      <w:r>
        <w:rPr>
          <w:sz w:val="20"/>
          <w:szCs w:val="20"/>
        </w:rPr>
        <w:t>)</w:t>
      </w:r>
      <w:r w:rsidRPr="00BF10F9">
        <w:rPr>
          <w:sz w:val="20"/>
          <w:szCs w:val="20"/>
        </w:rPr>
        <w:t xml:space="preserve">. </w:t>
      </w:r>
    </w:p>
    <w:p w14:paraId="78D75B03" w14:textId="3CCAAC60"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Provided fully </w:t>
      </w:r>
      <w:r w:rsidR="00542B60" w:rsidRPr="00BF10F9">
        <w:rPr>
          <w:sz w:val="20"/>
          <w:szCs w:val="20"/>
        </w:rPr>
        <w:t>wheelchair</w:t>
      </w:r>
      <w:r w:rsidR="00542B60">
        <w:rPr>
          <w:sz w:val="20"/>
          <w:szCs w:val="20"/>
        </w:rPr>
        <w:t xml:space="preserve"> accessible</w:t>
      </w:r>
      <w:r w:rsidRPr="00BF10F9">
        <w:rPr>
          <w:sz w:val="20"/>
          <w:szCs w:val="20"/>
        </w:rPr>
        <w:t xml:space="preserve"> </w:t>
      </w:r>
      <w:proofErr w:type="spellStart"/>
      <w:r w:rsidRPr="00BF10F9">
        <w:rPr>
          <w:sz w:val="20"/>
          <w:szCs w:val="20"/>
        </w:rPr>
        <w:t>Borumba</w:t>
      </w:r>
      <w:proofErr w:type="spellEnd"/>
      <w:r w:rsidRPr="00BF10F9">
        <w:rPr>
          <w:sz w:val="20"/>
          <w:szCs w:val="20"/>
        </w:rPr>
        <w:t xml:space="preserve"> Pumped Hydro </w:t>
      </w:r>
      <w:r>
        <w:rPr>
          <w:sz w:val="20"/>
          <w:szCs w:val="20"/>
        </w:rPr>
        <w:t>S</w:t>
      </w:r>
      <w:r w:rsidRPr="00BF10F9">
        <w:rPr>
          <w:sz w:val="20"/>
          <w:szCs w:val="20"/>
        </w:rPr>
        <w:t xml:space="preserve">ite public consultations </w:t>
      </w:r>
      <w:r>
        <w:rPr>
          <w:sz w:val="20"/>
          <w:szCs w:val="20"/>
        </w:rPr>
        <w:t>at</w:t>
      </w:r>
      <w:r w:rsidRPr="00BF10F9">
        <w:rPr>
          <w:sz w:val="20"/>
          <w:szCs w:val="20"/>
        </w:rPr>
        <w:t xml:space="preserve"> Gympie</w:t>
      </w:r>
      <w:r>
        <w:rPr>
          <w:sz w:val="20"/>
          <w:szCs w:val="20"/>
        </w:rPr>
        <w:t xml:space="preserve"> </w:t>
      </w:r>
      <w:r w:rsidRPr="00BF10F9">
        <w:rPr>
          <w:sz w:val="20"/>
          <w:szCs w:val="20"/>
        </w:rPr>
        <w:t>and Imbil.</w:t>
      </w:r>
    </w:p>
    <w:p w14:paraId="78CB7819"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Offered public consultations for all EPW projects as in-person sessions and through EPW online engagement portal </w:t>
      </w:r>
      <w:proofErr w:type="spellStart"/>
      <w:r w:rsidRPr="00BF10F9">
        <w:rPr>
          <w:i/>
          <w:iCs/>
          <w:sz w:val="20"/>
          <w:szCs w:val="20"/>
        </w:rPr>
        <w:t>EngagementHQ</w:t>
      </w:r>
      <w:proofErr w:type="spellEnd"/>
      <w:r w:rsidRPr="00BF10F9">
        <w:rPr>
          <w:i/>
          <w:iCs/>
          <w:sz w:val="20"/>
          <w:szCs w:val="20"/>
        </w:rPr>
        <w:t>.</w:t>
      </w:r>
      <w:r w:rsidRPr="00BF10F9">
        <w:rPr>
          <w:sz w:val="20"/>
          <w:szCs w:val="20"/>
        </w:rPr>
        <w:t xml:space="preserve"> </w:t>
      </w:r>
    </w:p>
    <w:p w14:paraId="30CB5A95"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Provided interpreter service information for all major reports and plans including how to obtain copies in preferred language. </w:t>
      </w:r>
    </w:p>
    <w:p w14:paraId="045ED794"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Provided signing interpreters at QBuild forums for hearing-impaired employees.</w:t>
      </w:r>
    </w:p>
    <w:p w14:paraId="45810D40"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Provided opportunities for QBuild apprentices to participate in </w:t>
      </w:r>
      <w:proofErr w:type="spellStart"/>
      <w:r w:rsidRPr="00BF10F9">
        <w:rPr>
          <w:sz w:val="20"/>
          <w:szCs w:val="20"/>
        </w:rPr>
        <w:t>Auslan</w:t>
      </w:r>
      <w:proofErr w:type="spellEnd"/>
      <w:r w:rsidRPr="00BF10F9">
        <w:rPr>
          <w:sz w:val="20"/>
          <w:szCs w:val="20"/>
        </w:rPr>
        <w:t xml:space="preserve"> workshops.</w:t>
      </w:r>
    </w:p>
    <w:p w14:paraId="02E62AD8"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Completed review to ensure all eLearning modules meet Web Content Accessibility Guidelines.</w:t>
      </w:r>
    </w:p>
    <w:p w14:paraId="530644BC" w14:textId="77777777" w:rsidR="009204EF" w:rsidRPr="000D470E"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Engaged with disability interests on key energy policy issues through the Queensland Council of Social Services energy consumer advocacy agreement</w:t>
      </w:r>
      <w:r w:rsidRPr="000D470E">
        <w:rPr>
          <w:sz w:val="20"/>
          <w:szCs w:val="20"/>
        </w:rPr>
        <w:t>.</w:t>
      </w:r>
    </w:p>
    <w:p w14:paraId="3287B6D8" w14:textId="77777777" w:rsidR="009204EF" w:rsidRPr="00BF10F9" w:rsidRDefault="009204EF" w:rsidP="009204EF">
      <w:pPr>
        <w:spacing w:after="120" w:line="240" w:lineRule="auto"/>
        <w:rPr>
          <w:sz w:val="6"/>
          <w:szCs w:val="6"/>
          <w:lang w:eastAsia="en-US"/>
        </w:rPr>
      </w:pPr>
    </w:p>
    <w:p w14:paraId="1B7E3F15" w14:textId="77777777" w:rsidR="009204EF" w:rsidRPr="00B1430A" w:rsidRDefault="009204EF" w:rsidP="009204EF">
      <w:pPr>
        <w:spacing w:after="120" w:line="240" w:lineRule="auto"/>
        <w:rPr>
          <w:b/>
          <w:bCs/>
          <w:sz w:val="20"/>
          <w:szCs w:val="20"/>
          <w:lang w:eastAsia="en-US"/>
        </w:rPr>
      </w:pPr>
      <w:r w:rsidRPr="00B1430A">
        <w:rPr>
          <w:b/>
          <w:bCs/>
          <w:sz w:val="20"/>
          <w:szCs w:val="20"/>
        </w:rPr>
        <w:t>Priority 2: Identify opportunities for reshaping service arrangements and support providers</w:t>
      </w:r>
    </w:p>
    <w:p w14:paraId="5546CE76"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sidRPr="00BF10F9">
        <w:rPr>
          <w:sz w:val="20"/>
          <w:szCs w:val="20"/>
        </w:rPr>
        <w:t xml:space="preserve">Made online Disability training module </w:t>
      </w:r>
      <w:r w:rsidRPr="00FE45DD">
        <w:rPr>
          <w:sz w:val="20"/>
          <w:szCs w:val="20"/>
        </w:rPr>
        <w:t>available</w:t>
      </w:r>
      <w:r w:rsidRPr="008E0F40" w:rsidDel="004F3428">
        <w:rPr>
          <w:sz w:val="20"/>
          <w:szCs w:val="20"/>
        </w:rPr>
        <w:t xml:space="preserve"> </w:t>
      </w:r>
      <w:r w:rsidRPr="00BF10F9">
        <w:rPr>
          <w:sz w:val="20"/>
          <w:szCs w:val="20"/>
        </w:rPr>
        <w:t>for all EPW employees.</w:t>
      </w:r>
    </w:p>
    <w:p w14:paraId="186B69CC"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sidRPr="00BF10F9">
        <w:rPr>
          <w:sz w:val="20"/>
          <w:szCs w:val="20"/>
        </w:rPr>
        <w:t>Awarded QGAO tender to operate the Goodwill Bridge coffee cart</w:t>
      </w:r>
      <w:r w:rsidRPr="00BF10F9" w:rsidDel="00C543CA">
        <w:rPr>
          <w:sz w:val="20"/>
          <w:szCs w:val="20"/>
        </w:rPr>
        <w:t xml:space="preserve"> </w:t>
      </w:r>
      <w:r w:rsidRPr="00BF10F9">
        <w:rPr>
          <w:sz w:val="20"/>
          <w:szCs w:val="20"/>
        </w:rPr>
        <w:t>to social enterprise for people with disability.</w:t>
      </w:r>
    </w:p>
    <w:p w14:paraId="6BC68448"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sidRPr="00BF10F9">
        <w:rPr>
          <w:sz w:val="20"/>
          <w:szCs w:val="20"/>
        </w:rPr>
        <w:t xml:space="preserve">Provided </w:t>
      </w:r>
      <w:r w:rsidRPr="005E706D">
        <w:rPr>
          <w:sz w:val="20"/>
          <w:szCs w:val="20"/>
        </w:rPr>
        <w:t>QGAO</w:t>
      </w:r>
      <w:r w:rsidRPr="008E0F40">
        <w:rPr>
          <w:sz w:val="20"/>
          <w:szCs w:val="20"/>
        </w:rPr>
        <w:t xml:space="preserve"> </w:t>
      </w:r>
      <w:r w:rsidRPr="00BF10F9">
        <w:rPr>
          <w:sz w:val="20"/>
          <w:szCs w:val="20"/>
        </w:rPr>
        <w:t>in-kind support (up to $250,000 value) to Virtus (advocate for elite athletes with intellectual disability).</w:t>
      </w:r>
    </w:p>
    <w:p w14:paraId="39CDC1CE"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sidRPr="00BF10F9">
        <w:rPr>
          <w:sz w:val="20"/>
          <w:szCs w:val="20"/>
        </w:rPr>
        <w:t>Leased three wheelchair accessible vehicles to Queensland Health and two wheelchair accessible vehicles to the Department of Children</w:t>
      </w:r>
      <w:r>
        <w:rPr>
          <w:sz w:val="20"/>
          <w:szCs w:val="20"/>
        </w:rPr>
        <w:t>,</w:t>
      </w:r>
      <w:r w:rsidRPr="00BF10F9">
        <w:rPr>
          <w:sz w:val="20"/>
          <w:szCs w:val="20"/>
        </w:rPr>
        <w:t xml:space="preserve"> Youth </w:t>
      </w:r>
      <w:proofErr w:type="gramStart"/>
      <w:r w:rsidRPr="00BF10F9">
        <w:rPr>
          <w:sz w:val="20"/>
          <w:szCs w:val="20"/>
        </w:rPr>
        <w:t>Justice</w:t>
      </w:r>
      <w:proofErr w:type="gramEnd"/>
      <w:r w:rsidRPr="00BF10F9">
        <w:rPr>
          <w:sz w:val="20"/>
          <w:szCs w:val="20"/>
        </w:rPr>
        <w:t xml:space="preserve"> and Multicultural Affairs.</w:t>
      </w:r>
    </w:p>
    <w:p w14:paraId="2590DB39"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sidRPr="00BF10F9">
        <w:rPr>
          <w:sz w:val="20"/>
          <w:szCs w:val="20"/>
        </w:rPr>
        <w:t xml:space="preserve">Provided 60 </w:t>
      </w:r>
      <w:proofErr w:type="spellStart"/>
      <w:r w:rsidRPr="00BF10F9">
        <w:rPr>
          <w:sz w:val="20"/>
          <w:szCs w:val="20"/>
        </w:rPr>
        <w:t>QFleet</w:t>
      </w:r>
      <w:proofErr w:type="spellEnd"/>
      <w:r w:rsidRPr="00BF10F9">
        <w:rPr>
          <w:sz w:val="20"/>
          <w:szCs w:val="20"/>
        </w:rPr>
        <w:t xml:space="preserve"> vehicles with wheelchair access </w:t>
      </w:r>
      <w:r>
        <w:rPr>
          <w:sz w:val="20"/>
          <w:szCs w:val="20"/>
        </w:rPr>
        <w:t>for use</w:t>
      </w:r>
      <w:r w:rsidRPr="00BF10F9">
        <w:rPr>
          <w:sz w:val="20"/>
          <w:szCs w:val="20"/>
        </w:rPr>
        <w:t xml:space="preserve"> by agencies to support delivery needs. </w:t>
      </w:r>
    </w:p>
    <w:p w14:paraId="4136D5F3"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Pr>
          <w:sz w:val="20"/>
          <w:szCs w:val="20"/>
        </w:rPr>
        <w:t>Staged planning and build phases for n</w:t>
      </w:r>
      <w:r w:rsidRPr="00BF10F9">
        <w:rPr>
          <w:sz w:val="20"/>
          <w:szCs w:val="20"/>
        </w:rPr>
        <w:t xml:space="preserve">ine new </w:t>
      </w:r>
      <w:proofErr w:type="spellStart"/>
      <w:r w:rsidRPr="00BF10F9">
        <w:rPr>
          <w:sz w:val="20"/>
          <w:szCs w:val="20"/>
        </w:rPr>
        <w:t>QFleet</w:t>
      </w:r>
      <w:proofErr w:type="spellEnd"/>
      <w:r w:rsidRPr="00BF10F9">
        <w:rPr>
          <w:sz w:val="20"/>
          <w:szCs w:val="20"/>
        </w:rPr>
        <w:t xml:space="preserve"> vehicles with wheelchair access.</w:t>
      </w:r>
    </w:p>
    <w:p w14:paraId="6FBAA69D" w14:textId="77777777" w:rsidR="009204EF" w:rsidRPr="00BF10F9" w:rsidRDefault="009204EF" w:rsidP="009204EF">
      <w:pPr>
        <w:spacing w:after="120" w:line="240" w:lineRule="auto"/>
        <w:rPr>
          <w:sz w:val="6"/>
          <w:szCs w:val="6"/>
          <w:lang w:eastAsia="en-US"/>
        </w:rPr>
      </w:pPr>
    </w:p>
    <w:p w14:paraId="6696BEFB" w14:textId="77777777" w:rsidR="009204EF" w:rsidRPr="007F743E" w:rsidRDefault="009204EF" w:rsidP="009204EF">
      <w:pPr>
        <w:spacing w:after="120" w:line="240" w:lineRule="auto"/>
        <w:rPr>
          <w:b/>
          <w:bCs/>
          <w:sz w:val="20"/>
          <w:szCs w:val="20"/>
          <w:lang w:eastAsia="en-US"/>
        </w:rPr>
      </w:pPr>
      <w:r w:rsidRPr="007F743E">
        <w:rPr>
          <w:b/>
          <w:bCs/>
          <w:sz w:val="20"/>
          <w:szCs w:val="20"/>
        </w:rPr>
        <w:t>Priority 3: Ongoing monitoring of service capacity and value</w:t>
      </w:r>
    </w:p>
    <w:p w14:paraId="40299D64"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Designed building upgrades, </w:t>
      </w:r>
      <w:proofErr w:type="gramStart"/>
      <w:r w:rsidRPr="00BF10F9">
        <w:rPr>
          <w:sz w:val="20"/>
          <w:szCs w:val="20"/>
        </w:rPr>
        <w:t>refurbishments</w:t>
      </w:r>
      <w:proofErr w:type="gramEnd"/>
      <w:r w:rsidRPr="00BF10F9">
        <w:rPr>
          <w:sz w:val="20"/>
          <w:szCs w:val="20"/>
        </w:rPr>
        <w:t xml:space="preserve"> and </w:t>
      </w:r>
      <w:proofErr w:type="spellStart"/>
      <w:r w:rsidRPr="00BF10F9">
        <w:rPr>
          <w:sz w:val="20"/>
          <w:szCs w:val="20"/>
        </w:rPr>
        <w:t>fitouts</w:t>
      </w:r>
      <w:proofErr w:type="spellEnd"/>
      <w:r w:rsidRPr="00BF10F9">
        <w:rPr>
          <w:sz w:val="20"/>
          <w:szCs w:val="20"/>
        </w:rPr>
        <w:t xml:space="preserve"> to meet </w:t>
      </w:r>
      <w:r w:rsidRPr="00BF10F9">
        <w:rPr>
          <w:i/>
          <w:iCs/>
          <w:sz w:val="20"/>
          <w:szCs w:val="20"/>
        </w:rPr>
        <w:t>AS1428.2 Design for access and mobility – Enhance and additional requirements – Buildings and facilities.</w:t>
      </w:r>
    </w:p>
    <w:p w14:paraId="1787E8FC"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 xml:space="preserve">Delivered four </w:t>
      </w:r>
      <w:r w:rsidRPr="00BF10F9">
        <w:rPr>
          <w:i/>
          <w:iCs/>
          <w:sz w:val="20"/>
          <w:szCs w:val="20"/>
        </w:rPr>
        <w:t>AS1428.2 1992</w:t>
      </w:r>
      <w:r w:rsidRPr="00BF10F9">
        <w:rPr>
          <w:sz w:val="20"/>
          <w:szCs w:val="20"/>
        </w:rPr>
        <w:t xml:space="preserve"> compliant major office </w:t>
      </w:r>
      <w:proofErr w:type="spellStart"/>
      <w:r w:rsidRPr="00BF10F9">
        <w:rPr>
          <w:sz w:val="20"/>
          <w:szCs w:val="20"/>
        </w:rPr>
        <w:t>fitout</w:t>
      </w:r>
      <w:proofErr w:type="spellEnd"/>
      <w:r w:rsidRPr="00BF10F9">
        <w:rPr>
          <w:sz w:val="20"/>
          <w:szCs w:val="20"/>
        </w:rPr>
        <w:t xml:space="preserve"> projects totalling 4,290m</w:t>
      </w:r>
      <w:r w:rsidRPr="00BF10F9">
        <w:rPr>
          <w:sz w:val="20"/>
          <w:szCs w:val="20"/>
          <w:vertAlign w:val="superscript"/>
        </w:rPr>
        <w:t>2</w:t>
      </w:r>
      <w:r w:rsidRPr="00BF10F9">
        <w:rPr>
          <w:sz w:val="20"/>
          <w:szCs w:val="20"/>
        </w:rPr>
        <w:t>.</w:t>
      </w:r>
    </w:p>
    <w:p w14:paraId="5401D55A" w14:textId="77777777" w:rsidR="009204EF" w:rsidRPr="00BF10F9" w:rsidRDefault="009204EF" w:rsidP="009204EF">
      <w:pPr>
        <w:pStyle w:val="ListParagraph"/>
        <w:numPr>
          <w:ilvl w:val="0"/>
          <w:numId w:val="5"/>
        </w:numPr>
        <w:spacing w:after="120" w:line="240" w:lineRule="auto"/>
        <w:ind w:left="284" w:hanging="284"/>
        <w:rPr>
          <w:i/>
          <w:iCs/>
          <w:sz w:val="20"/>
          <w:szCs w:val="20"/>
          <w:lang w:eastAsia="en-US"/>
        </w:rPr>
      </w:pPr>
      <w:r w:rsidRPr="00BF10F9">
        <w:rPr>
          <w:sz w:val="20"/>
          <w:szCs w:val="20"/>
        </w:rPr>
        <w:t>Ensured all new Government Office Accommodation</w:t>
      </w:r>
      <w:r>
        <w:rPr>
          <w:sz w:val="20"/>
          <w:szCs w:val="20"/>
        </w:rPr>
        <w:t xml:space="preserve"> leases</w:t>
      </w:r>
      <w:r w:rsidRPr="00BF10F9">
        <w:rPr>
          <w:sz w:val="20"/>
          <w:szCs w:val="20"/>
        </w:rPr>
        <w:t xml:space="preserve"> </w:t>
      </w:r>
      <w:r>
        <w:rPr>
          <w:sz w:val="20"/>
          <w:szCs w:val="20"/>
        </w:rPr>
        <w:t xml:space="preserve">complied with the </w:t>
      </w:r>
      <w:r w:rsidRPr="00BF10F9">
        <w:rPr>
          <w:i/>
          <w:iCs/>
          <w:sz w:val="20"/>
          <w:szCs w:val="20"/>
        </w:rPr>
        <w:t>Disability Discrimination Act</w:t>
      </w:r>
      <w:r w:rsidRPr="00BF10F9">
        <w:rPr>
          <w:sz w:val="20"/>
          <w:szCs w:val="20"/>
        </w:rPr>
        <w:t xml:space="preserve"> </w:t>
      </w:r>
      <w:r w:rsidRPr="00BF10F9">
        <w:rPr>
          <w:i/>
          <w:iCs/>
          <w:sz w:val="20"/>
          <w:szCs w:val="20"/>
        </w:rPr>
        <w:t>1992</w:t>
      </w:r>
      <w:r>
        <w:rPr>
          <w:sz w:val="20"/>
          <w:szCs w:val="20"/>
        </w:rPr>
        <w:t xml:space="preserve"> requirements.</w:t>
      </w:r>
    </w:p>
    <w:p w14:paraId="6562B44F"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Pr>
          <w:sz w:val="20"/>
          <w:szCs w:val="20"/>
        </w:rPr>
        <w:t>C</w:t>
      </w:r>
      <w:r w:rsidRPr="00BF10F9">
        <w:rPr>
          <w:sz w:val="20"/>
          <w:szCs w:val="20"/>
        </w:rPr>
        <w:t>onsidered Liveable Housing Design guidelines for all Government Employee Housing (GEH) designs and builds.</w:t>
      </w:r>
    </w:p>
    <w:p w14:paraId="16AC3A01" w14:textId="77777777" w:rsidR="009204EF" w:rsidRPr="00BF10F9" w:rsidRDefault="009204EF" w:rsidP="009204EF">
      <w:pPr>
        <w:pStyle w:val="ListParagraph"/>
        <w:numPr>
          <w:ilvl w:val="0"/>
          <w:numId w:val="5"/>
        </w:numPr>
        <w:spacing w:after="120" w:line="240" w:lineRule="auto"/>
        <w:ind w:left="284" w:hanging="284"/>
        <w:rPr>
          <w:sz w:val="20"/>
          <w:szCs w:val="20"/>
          <w:lang w:eastAsia="en-US"/>
        </w:rPr>
      </w:pPr>
      <w:r w:rsidRPr="00BF10F9">
        <w:rPr>
          <w:sz w:val="20"/>
          <w:szCs w:val="20"/>
        </w:rPr>
        <w:t>Ensured all GEH projects complied with Australian Building Codes Board technical standards with ‘Silver’ levels of accessibility.</w:t>
      </w:r>
    </w:p>
    <w:p w14:paraId="4924C5F4" w14:textId="77777777" w:rsidR="00C35093" w:rsidRDefault="00C35093" w:rsidP="00C35093"/>
    <w:sectPr w:rsidR="00C35093" w:rsidSect="00542B60">
      <w:headerReference w:type="default" r:id="rId8"/>
      <w:endnotePr>
        <w:numFmt w:val="decimal"/>
      </w:endnotePr>
      <w:pgSz w:w="11906" w:h="16838" w:code="9"/>
      <w:pgMar w:top="1440" w:right="1080" w:bottom="1440" w:left="1080" w:header="680" w:footer="397" w:gutter="0"/>
      <w:pgNumType w:fmt="numberInDash"/>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F219" w14:textId="77777777" w:rsidR="00EF6F4A" w:rsidRDefault="00EF6F4A" w:rsidP="00EF6F4A">
      <w:pPr>
        <w:spacing w:after="0" w:line="240" w:lineRule="auto"/>
      </w:pPr>
      <w:r>
        <w:separator/>
      </w:r>
    </w:p>
  </w:endnote>
  <w:endnote w:type="continuationSeparator" w:id="0">
    <w:p w14:paraId="42815D47" w14:textId="77777777" w:rsidR="00EF6F4A" w:rsidRDefault="00EF6F4A" w:rsidP="00EF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EDEA" w14:textId="0E3668FA" w:rsidR="00EF6F4A" w:rsidRPr="00EF6F4A" w:rsidRDefault="00EF6F4A" w:rsidP="00EF6F4A">
    <w:pPr>
      <w:pStyle w:val="Footer"/>
      <w:rPr>
        <w:sz w:val="16"/>
        <w:szCs w:val="16"/>
      </w:rPr>
    </w:pPr>
    <w:r w:rsidRPr="00EF6F4A">
      <w:rPr>
        <w:color w:val="000000" w:themeColor="text1"/>
        <w:sz w:val="16"/>
        <w:szCs w:val="16"/>
      </w:rPr>
      <w:t xml:space="preserve">Department of Energy and Public Works </w:t>
    </w:r>
    <w:r w:rsidR="008B4C43">
      <w:rPr>
        <w:color w:val="000000" w:themeColor="text1"/>
        <w:sz w:val="16"/>
        <w:szCs w:val="16"/>
      </w:rPr>
      <w:t>Disability</w:t>
    </w:r>
    <w:r w:rsidRPr="00EF6F4A">
      <w:rPr>
        <w:color w:val="000000" w:themeColor="text1"/>
        <w:sz w:val="16"/>
        <w:szCs w:val="16"/>
      </w:rPr>
      <w:t xml:space="preserve"> Service Plan 2022-2025</w:t>
    </w:r>
    <w:sdt>
      <w:sdtPr>
        <w:rPr>
          <w:sz w:val="16"/>
          <w:szCs w:val="16"/>
        </w:rPr>
        <w:id w:val="-1100330069"/>
        <w:docPartObj>
          <w:docPartGallery w:val="Page Numbers (Bottom of Page)"/>
          <w:docPartUnique/>
        </w:docPartObj>
      </w:sdtPr>
      <w:sdtEndPr>
        <w:rPr>
          <w:noProof/>
        </w:rPr>
      </w:sdtEndPr>
      <w:sdtContent>
        <w:r w:rsidRPr="00EF6F4A">
          <w:rPr>
            <w:sz w:val="16"/>
            <w:szCs w:val="16"/>
          </w:rPr>
          <w:tab/>
        </w:r>
        <w:r w:rsidRPr="00EF6F4A">
          <w:rPr>
            <w:sz w:val="16"/>
            <w:szCs w:val="16"/>
          </w:rPr>
          <w:fldChar w:fldCharType="begin"/>
        </w:r>
        <w:r w:rsidRPr="00EF6F4A">
          <w:rPr>
            <w:sz w:val="16"/>
            <w:szCs w:val="16"/>
          </w:rPr>
          <w:instrText xml:space="preserve"> PAGE   \* MERGEFORMAT </w:instrText>
        </w:r>
        <w:r w:rsidRPr="00EF6F4A">
          <w:rPr>
            <w:sz w:val="16"/>
            <w:szCs w:val="16"/>
          </w:rPr>
          <w:fldChar w:fldCharType="separate"/>
        </w:r>
        <w:r w:rsidRPr="00EF6F4A">
          <w:rPr>
            <w:noProof/>
            <w:sz w:val="16"/>
            <w:szCs w:val="16"/>
          </w:rPr>
          <w:t>2</w:t>
        </w:r>
        <w:r w:rsidRPr="00EF6F4A">
          <w:rPr>
            <w:noProof/>
            <w:sz w:val="16"/>
            <w:szCs w:val="16"/>
          </w:rPr>
          <w:fldChar w:fldCharType="end"/>
        </w:r>
      </w:sdtContent>
    </w:sdt>
  </w:p>
  <w:p w14:paraId="113A3986" w14:textId="77777777" w:rsidR="00EF6F4A" w:rsidRDefault="00EF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FE21" w14:textId="77777777" w:rsidR="00EF6F4A" w:rsidRDefault="00EF6F4A" w:rsidP="00EF6F4A">
      <w:pPr>
        <w:spacing w:after="0" w:line="240" w:lineRule="auto"/>
      </w:pPr>
      <w:r>
        <w:separator/>
      </w:r>
    </w:p>
  </w:footnote>
  <w:footnote w:type="continuationSeparator" w:id="0">
    <w:p w14:paraId="01229457" w14:textId="77777777" w:rsidR="00EF6F4A" w:rsidRDefault="00EF6F4A" w:rsidP="00EF6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DDD" w14:textId="77777777" w:rsidR="00E70ADE" w:rsidRPr="00AC4E86" w:rsidRDefault="008B4C43" w:rsidP="00E70ADE">
    <w:pPr>
      <w:pStyle w:val="Header"/>
      <w:spacing w:after="0" w:line="240" w:lineRule="auto"/>
      <w:rPr>
        <w:color w:val="auto"/>
      </w:rPr>
    </w:pPr>
    <w:r w:rsidRPr="00AC4E86">
      <w:rPr>
        <w:color w:val="auto"/>
      </w:rPr>
      <w:t>Progress report - Department of Energy and Public Works Disability Service Plan 2021-22</w:t>
    </w:r>
  </w:p>
  <w:p w14:paraId="2146FDFC" w14:textId="77777777" w:rsidR="00BF407D" w:rsidRPr="00AC4E86" w:rsidRDefault="00C60254" w:rsidP="002F7088">
    <w:pPr>
      <w:pStyle w:val="Header"/>
      <w:spacing w:after="0" w:line="240" w:lineRule="aut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F1"/>
    <w:multiLevelType w:val="hybridMultilevel"/>
    <w:tmpl w:val="E62E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598D"/>
    <w:multiLevelType w:val="hybridMultilevel"/>
    <w:tmpl w:val="D77073B8"/>
    <w:lvl w:ilvl="0" w:tplc="731C84BE">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CC74FF9"/>
    <w:multiLevelType w:val="hybridMultilevel"/>
    <w:tmpl w:val="73E46A3C"/>
    <w:lvl w:ilvl="0" w:tplc="A8706208">
      <w:numFmt w:val="bullet"/>
      <w:lvlText w:val="-"/>
      <w:lvlJc w:val="left"/>
      <w:pPr>
        <w:ind w:left="502"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065BA"/>
    <w:multiLevelType w:val="multilevel"/>
    <w:tmpl w:val="2B6051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0C5322"/>
    <w:multiLevelType w:val="multilevel"/>
    <w:tmpl w:val="F5404E6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2A48E0"/>
    <w:multiLevelType w:val="hybridMultilevel"/>
    <w:tmpl w:val="EBCC7FF6"/>
    <w:lvl w:ilvl="0" w:tplc="0C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56693B63"/>
    <w:multiLevelType w:val="hybridMultilevel"/>
    <w:tmpl w:val="97E49A18"/>
    <w:lvl w:ilvl="0" w:tplc="E490EB7C">
      <w:start w:val="1"/>
      <w:numFmt w:val="upperLetter"/>
      <w:lvlText w:val="%1."/>
      <w:lvlJc w:val="left"/>
      <w:pPr>
        <w:ind w:left="502" w:hanging="360"/>
      </w:pPr>
      <w:rPr>
        <w:rFonts w:hint="default"/>
        <w:sz w:val="19"/>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60520316"/>
    <w:multiLevelType w:val="hybridMultilevel"/>
    <w:tmpl w:val="01E0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C7219B"/>
    <w:multiLevelType w:val="hybridMultilevel"/>
    <w:tmpl w:val="C58C4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025494"/>
    <w:multiLevelType w:val="hybridMultilevel"/>
    <w:tmpl w:val="E36EA178"/>
    <w:lvl w:ilvl="0" w:tplc="A7BAFAAA">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719D6979"/>
    <w:multiLevelType w:val="hybridMultilevel"/>
    <w:tmpl w:val="F3884A72"/>
    <w:lvl w:ilvl="0" w:tplc="667C4118">
      <w:start w:val="1"/>
      <w:numFmt w:val="bullet"/>
      <w:pStyle w:val="bullet"/>
      <w:lvlText w:val=""/>
      <w:lvlJc w:val="left"/>
      <w:pPr>
        <w:ind w:left="785" w:hanging="360"/>
      </w:pPr>
      <w:rPr>
        <w:rFonts w:ascii="Symbol" w:hAnsi="Symbol" w:hint="default"/>
        <w:color w:val="595959" w:themeColor="text1" w:themeTint="A6"/>
      </w:rPr>
    </w:lvl>
    <w:lvl w:ilvl="1" w:tplc="0C090003">
      <w:start w:val="1"/>
      <w:numFmt w:val="bullet"/>
      <w:pStyle w:val="Heading2"/>
      <w:lvlText w:val="o"/>
      <w:lvlJc w:val="left"/>
      <w:pPr>
        <w:ind w:left="1440" w:hanging="360"/>
      </w:pPr>
      <w:rPr>
        <w:rFonts w:ascii="Courier New" w:hAnsi="Courier New" w:cs="Courier New" w:hint="default"/>
      </w:rPr>
    </w:lvl>
    <w:lvl w:ilvl="2" w:tplc="0C090005" w:tentative="1">
      <w:start w:val="1"/>
      <w:numFmt w:val="bullet"/>
      <w:pStyle w:val="Heading3"/>
      <w:lvlText w:val=""/>
      <w:lvlJc w:val="left"/>
      <w:pPr>
        <w:ind w:left="2160" w:hanging="360"/>
      </w:pPr>
      <w:rPr>
        <w:rFonts w:ascii="Wingdings" w:hAnsi="Wingdings" w:hint="default"/>
      </w:rPr>
    </w:lvl>
    <w:lvl w:ilvl="3" w:tplc="0C090001" w:tentative="1">
      <w:start w:val="1"/>
      <w:numFmt w:val="bullet"/>
      <w:pStyle w:val="Heading4"/>
      <w:lvlText w:val=""/>
      <w:lvlJc w:val="left"/>
      <w:pPr>
        <w:ind w:left="2880" w:hanging="360"/>
      </w:pPr>
      <w:rPr>
        <w:rFonts w:ascii="Symbol" w:hAnsi="Symbol" w:hint="default"/>
      </w:rPr>
    </w:lvl>
    <w:lvl w:ilvl="4" w:tplc="0C090003" w:tentative="1">
      <w:start w:val="1"/>
      <w:numFmt w:val="bullet"/>
      <w:pStyle w:val="Heading5"/>
      <w:lvlText w:val="o"/>
      <w:lvlJc w:val="left"/>
      <w:pPr>
        <w:ind w:left="3600" w:hanging="360"/>
      </w:pPr>
      <w:rPr>
        <w:rFonts w:ascii="Courier New" w:hAnsi="Courier New" w:cs="Courier New" w:hint="default"/>
      </w:rPr>
    </w:lvl>
    <w:lvl w:ilvl="5" w:tplc="0C090005" w:tentative="1">
      <w:start w:val="1"/>
      <w:numFmt w:val="bullet"/>
      <w:pStyle w:val="Heading6"/>
      <w:lvlText w:val=""/>
      <w:lvlJc w:val="left"/>
      <w:pPr>
        <w:ind w:left="4320" w:hanging="360"/>
      </w:pPr>
      <w:rPr>
        <w:rFonts w:ascii="Wingdings" w:hAnsi="Wingdings" w:hint="default"/>
      </w:rPr>
    </w:lvl>
    <w:lvl w:ilvl="6" w:tplc="0C090001" w:tentative="1">
      <w:start w:val="1"/>
      <w:numFmt w:val="bullet"/>
      <w:pStyle w:val="Heading7"/>
      <w:lvlText w:val=""/>
      <w:lvlJc w:val="left"/>
      <w:pPr>
        <w:ind w:left="5040" w:hanging="360"/>
      </w:pPr>
      <w:rPr>
        <w:rFonts w:ascii="Symbol" w:hAnsi="Symbol" w:hint="default"/>
      </w:rPr>
    </w:lvl>
    <w:lvl w:ilvl="7" w:tplc="0C090003" w:tentative="1">
      <w:start w:val="1"/>
      <w:numFmt w:val="bullet"/>
      <w:pStyle w:val="Heading8"/>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hint="default"/>
      </w:rPr>
    </w:lvl>
  </w:abstractNum>
  <w:abstractNum w:abstractNumId="11" w15:restartNumberingAfterBreak="0">
    <w:nsid w:val="77CE77A1"/>
    <w:multiLevelType w:val="hybridMultilevel"/>
    <w:tmpl w:val="361C18A6"/>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7A16658B"/>
    <w:multiLevelType w:val="hybridMultilevel"/>
    <w:tmpl w:val="929E2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6"/>
  </w:num>
  <w:num w:numId="5">
    <w:abstractNumId w:val="7"/>
  </w:num>
  <w:num w:numId="6">
    <w:abstractNumId w:val="4"/>
  </w:num>
  <w:num w:numId="7">
    <w:abstractNumId w:val="10"/>
  </w:num>
  <w:num w:numId="8">
    <w:abstractNumId w:val="0"/>
  </w:num>
  <w:num w:numId="9">
    <w:abstractNumId w:val="1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3"/>
    <w:rsid w:val="00542B60"/>
    <w:rsid w:val="0077109B"/>
    <w:rsid w:val="00852972"/>
    <w:rsid w:val="008B4C43"/>
    <w:rsid w:val="009204EF"/>
    <w:rsid w:val="00AC4E86"/>
    <w:rsid w:val="00AD698D"/>
    <w:rsid w:val="00AF3CDF"/>
    <w:rsid w:val="00C35093"/>
    <w:rsid w:val="00C60254"/>
    <w:rsid w:val="00EF6F4A"/>
    <w:rsid w:val="00F03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38D3"/>
  <w15:chartTrackingRefBased/>
  <w15:docId w15:val="{C932670C-E3AE-4F84-8A65-EE05CC7F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93"/>
    <w:pPr>
      <w:spacing w:after="200" w:line="276" w:lineRule="auto"/>
    </w:pPr>
    <w:rPr>
      <w:rFonts w:ascii="Arial" w:eastAsia="Times New Roman" w:hAnsi="Arial" w:cs="Arial"/>
      <w:sz w:val="21"/>
      <w:szCs w:val="21"/>
      <w:lang w:eastAsia="en-AU"/>
    </w:rPr>
  </w:style>
  <w:style w:type="paragraph" w:styleId="Heading1">
    <w:name w:val="heading 1"/>
    <w:basedOn w:val="Normal"/>
    <w:next w:val="Normal"/>
    <w:link w:val="Heading1Char"/>
    <w:uiPriority w:val="1"/>
    <w:qFormat/>
    <w:rsid w:val="00C35093"/>
    <w:pPr>
      <w:keepNext/>
      <w:spacing w:after="180"/>
      <w:ind w:left="785" w:hanging="360"/>
      <w:outlineLvl w:val="0"/>
    </w:pPr>
    <w:rPr>
      <w:b/>
      <w:bCs/>
      <w:noProof/>
      <w:sz w:val="32"/>
      <w:szCs w:val="32"/>
      <w:lang w:eastAsia="en-US"/>
    </w:rPr>
  </w:style>
  <w:style w:type="paragraph" w:styleId="Heading2">
    <w:name w:val="heading 2"/>
    <w:basedOn w:val="Normal"/>
    <w:next w:val="Normal"/>
    <w:link w:val="Heading2Char"/>
    <w:uiPriority w:val="1"/>
    <w:qFormat/>
    <w:rsid w:val="00C35093"/>
    <w:pPr>
      <w:keepNext/>
      <w:numPr>
        <w:ilvl w:val="1"/>
        <w:numId w:val="1"/>
      </w:numPr>
      <w:spacing w:after="120"/>
      <w:outlineLvl w:val="1"/>
    </w:pPr>
    <w:rPr>
      <w:sz w:val="30"/>
      <w:szCs w:val="30"/>
      <w:lang w:eastAsia="en-US"/>
    </w:rPr>
  </w:style>
  <w:style w:type="paragraph" w:styleId="Heading3">
    <w:name w:val="heading 3"/>
    <w:basedOn w:val="Normal"/>
    <w:next w:val="Normal"/>
    <w:link w:val="Heading3Char"/>
    <w:uiPriority w:val="1"/>
    <w:qFormat/>
    <w:rsid w:val="00C35093"/>
    <w:pPr>
      <w:numPr>
        <w:ilvl w:val="2"/>
        <w:numId w:val="1"/>
      </w:numPr>
      <w:spacing w:after="120"/>
      <w:outlineLvl w:val="2"/>
    </w:pPr>
    <w:rPr>
      <w:color w:val="595959" w:themeColor="text1" w:themeTint="A6"/>
      <w:sz w:val="28"/>
      <w:szCs w:val="28"/>
      <w:lang w:eastAsia="en-US"/>
    </w:rPr>
  </w:style>
  <w:style w:type="paragraph" w:styleId="Heading4">
    <w:name w:val="heading 4"/>
    <w:basedOn w:val="BodyText"/>
    <w:next w:val="Normal"/>
    <w:link w:val="Heading4Char"/>
    <w:uiPriority w:val="1"/>
    <w:unhideWhenUsed/>
    <w:qFormat/>
    <w:rsid w:val="00C35093"/>
    <w:pPr>
      <w:numPr>
        <w:ilvl w:val="3"/>
        <w:numId w:val="1"/>
      </w:numPr>
      <w:spacing w:after="40"/>
      <w:outlineLvl w:val="3"/>
    </w:pPr>
    <w:rPr>
      <w:b/>
      <w:bCs/>
    </w:rPr>
  </w:style>
  <w:style w:type="paragraph" w:styleId="Heading5">
    <w:name w:val="heading 5"/>
    <w:basedOn w:val="BodyText"/>
    <w:next w:val="Normal"/>
    <w:link w:val="Heading5Char"/>
    <w:uiPriority w:val="9"/>
    <w:unhideWhenUsed/>
    <w:rsid w:val="00C35093"/>
    <w:pPr>
      <w:numPr>
        <w:ilvl w:val="4"/>
        <w:numId w:val="1"/>
      </w:numPr>
      <w:spacing w:after="40"/>
      <w:outlineLvl w:val="4"/>
    </w:pPr>
    <w:rPr>
      <w:b/>
      <w:bCs/>
      <w:i/>
      <w:iCs/>
    </w:rPr>
  </w:style>
  <w:style w:type="paragraph" w:styleId="Heading6">
    <w:name w:val="heading 6"/>
    <w:basedOn w:val="Normal"/>
    <w:next w:val="Normal"/>
    <w:link w:val="Heading6Char"/>
    <w:uiPriority w:val="9"/>
    <w:unhideWhenUsed/>
    <w:qFormat/>
    <w:rsid w:val="00C35093"/>
    <w:pPr>
      <w:numPr>
        <w:ilvl w:val="5"/>
        <w:numId w:val="1"/>
      </w:numPr>
      <w:spacing w:before="240" w:after="60"/>
      <w:outlineLvl w:val="5"/>
    </w:pPr>
  </w:style>
  <w:style w:type="paragraph" w:styleId="Heading7">
    <w:name w:val="heading 7"/>
    <w:basedOn w:val="Normal"/>
    <w:next w:val="Normal"/>
    <w:link w:val="Heading7Char"/>
    <w:uiPriority w:val="9"/>
    <w:unhideWhenUsed/>
    <w:qFormat/>
    <w:rsid w:val="00C35093"/>
    <w:pPr>
      <w:numPr>
        <w:ilvl w:val="6"/>
        <w:numId w:val="1"/>
      </w:numPr>
      <w:tabs>
        <w:tab w:val="left" w:pos="567"/>
      </w:tabs>
      <w:spacing w:before="200" w:after="60" w:line="240" w:lineRule="auto"/>
      <w:outlineLvl w:val="6"/>
    </w:pPr>
    <w:rPr>
      <w:i/>
      <w:color w:val="595959" w:themeColor="text1" w:themeTint="A6"/>
      <w:lang w:val="en-US"/>
    </w:rPr>
  </w:style>
  <w:style w:type="paragraph" w:styleId="Heading8">
    <w:name w:val="heading 8"/>
    <w:basedOn w:val="Normal"/>
    <w:next w:val="Normal"/>
    <w:link w:val="Heading8Char"/>
    <w:uiPriority w:val="9"/>
    <w:semiHidden/>
    <w:unhideWhenUsed/>
    <w:rsid w:val="00C35093"/>
    <w:pPr>
      <w:numPr>
        <w:ilvl w:val="7"/>
        <w:numId w:val="1"/>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rsid w:val="00C35093"/>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title">
    <w:name w:val="Cover page: title"/>
    <w:qFormat/>
    <w:rsid w:val="00C35093"/>
    <w:pPr>
      <w:spacing w:after="300" w:line="240" w:lineRule="auto"/>
    </w:pPr>
    <w:rPr>
      <w:rFonts w:ascii="Arial Black" w:eastAsia="Times New Roman" w:hAnsi="Arial Black" w:cs="Arial"/>
      <w:bCs/>
      <w:kern w:val="32"/>
      <w:sz w:val="50"/>
      <w:szCs w:val="50"/>
      <w:lang w:val="en-US" w:eastAsia="en-AU"/>
    </w:rPr>
  </w:style>
  <w:style w:type="character" w:customStyle="1" w:styleId="Heading1Char">
    <w:name w:val="Heading 1 Char"/>
    <w:basedOn w:val="DefaultParagraphFont"/>
    <w:link w:val="Heading1"/>
    <w:uiPriority w:val="1"/>
    <w:rsid w:val="00C35093"/>
    <w:rPr>
      <w:rFonts w:ascii="Arial" w:eastAsia="Times New Roman" w:hAnsi="Arial" w:cs="Arial"/>
      <w:b/>
      <w:bCs/>
      <w:noProof/>
      <w:sz w:val="32"/>
      <w:szCs w:val="32"/>
    </w:rPr>
  </w:style>
  <w:style w:type="character" w:customStyle="1" w:styleId="Heading2Char">
    <w:name w:val="Heading 2 Char"/>
    <w:basedOn w:val="DefaultParagraphFont"/>
    <w:link w:val="Heading2"/>
    <w:uiPriority w:val="1"/>
    <w:rsid w:val="00C35093"/>
    <w:rPr>
      <w:rFonts w:ascii="Arial" w:eastAsia="Times New Roman" w:hAnsi="Arial" w:cs="Arial"/>
      <w:sz w:val="30"/>
      <w:szCs w:val="30"/>
    </w:rPr>
  </w:style>
  <w:style w:type="character" w:customStyle="1" w:styleId="Heading3Char">
    <w:name w:val="Heading 3 Char"/>
    <w:basedOn w:val="DefaultParagraphFont"/>
    <w:link w:val="Heading3"/>
    <w:uiPriority w:val="1"/>
    <w:rsid w:val="00C35093"/>
    <w:rPr>
      <w:rFonts w:ascii="Arial" w:eastAsia="Times New Roman" w:hAnsi="Arial" w:cs="Arial"/>
      <w:color w:val="595959" w:themeColor="text1" w:themeTint="A6"/>
      <w:sz w:val="28"/>
      <w:szCs w:val="28"/>
    </w:rPr>
  </w:style>
  <w:style w:type="character" w:customStyle="1" w:styleId="Heading4Char">
    <w:name w:val="Heading 4 Char"/>
    <w:basedOn w:val="DefaultParagraphFont"/>
    <w:link w:val="Heading4"/>
    <w:uiPriority w:val="1"/>
    <w:rsid w:val="00C35093"/>
    <w:rPr>
      <w:rFonts w:ascii="Arial" w:eastAsia="Times New Roman" w:hAnsi="Arial" w:cs="Arial"/>
      <w:b/>
      <w:bCs/>
      <w:sz w:val="21"/>
      <w:szCs w:val="21"/>
      <w:lang w:eastAsia="en-AU"/>
    </w:rPr>
  </w:style>
  <w:style w:type="character" w:customStyle="1" w:styleId="Heading5Char">
    <w:name w:val="Heading 5 Char"/>
    <w:basedOn w:val="DefaultParagraphFont"/>
    <w:link w:val="Heading5"/>
    <w:uiPriority w:val="9"/>
    <w:rsid w:val="00C35093"/>
    <w:rPr>
      <w:rFonts w:ascii="Arial" w:eastAsia="Times New Roman" w:hAnsi="Arial" w:cs="Arial"/>
      <w:b/>
      <w:bCs/>
      <w:i/>
      <w:iCs/>
      <w:sz w:val="21"/>
      <w:szCs w:val="21"/>
      <w:lang w:eastAsia="en-AU"/>
    </w:rPr>
  </w:style>
  <w:style w:type="character" w:customStyle="1" w:styleId="Heading6Char">
    <w:name w:val="Heading 6 Char"/>
    <w:basedOn w:val="DefaultParagraphFont"/>
    <w:link w:val="Heading6"/>
    <w:uiPriority w:val="9"/>
    <w:rsid w:val="00C35093"/>
    <w:rPr>
      <w:rFonts w:ascii="Arial" w:eastAsia="Times New Roman" w:hAnsi="Arial" w:cs="Arial"/>
      <w:sz w:val="21"/>
      <w:szCs w:val="21"/>
      <w:lang w:eastAsia="en-AU"/>
    </w:rPr>
  </w:style>
  <w:style w:type="character" w:customStyle="1" w:styleId="Heading7Char">
    <w:name w:val="Heading 7 Char"/>
    <w:basedOn w:val="DefaultParagraphFont"/>
    <w:link w:val="Heading7"/>
    <w:uiPriority w:val="9"/>
    <w:rsid w:val="00C35093"/>
    <w:rPr>
      <w:rFonts w:ascii="Arial" w:eastAsia="Times New Roman" w:hAnsi="Arial" w:cs="Arial"/>
      <w:i/>
      <w:color w:val="595959" w:themeColor="text1" w:themeTint="A6"/>
      <w:sz w:val="21"/>
      <w:szCs w:val="21"/>
      <w:lang w:val="en-US" w:eastAsia="en-AU"/>
    </w:rPr>
  </w:style>
  <w:style w:type="character" w:customStyle="1" w:styleId="Heading8Char">
    <w:name w:val="Heading 8 Char"/>
    <w:basedOn w:val="DefaultParagraphFont"/>
    <w:link w:val="Heading8"/>
    <w:uiPriority w:val="9"/>
    <w:semiHidden/>
    <w:rsid w:val="00C35093"/>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uiPriority w:val="9"/>
    <w:semiHidden/>
    <w:rsid w:val="00C35093"/>
    <w:rPr>
      <w:rFonts w:ascii="Cambria" w:eastAsia="Times New Roman" w:hAnsi="Cambria" w:cs="Times New Roman"/>
      <w:lang w:eastAsia="en-AU"/>
    </w:rPr>
  </w:style>
  <w:style w:type="paragraph" w:styleId="ListParagraph">
    <w:name w:val="List Paragraph"/>
    <w:basedOn w:val="Normal"/>
    <w:uiPriority w:val="34"/>
    <w:qFormat/>
    <w:rsid w:val="00C35093"/>
    <w:pPr>
      <w:ind w:left="720"/>
      <w:contextualSpacing/>
    </w:pPr>
  </w:style>
  <w:style w:type="paragraph" w:styleId="BodyText">
    <w:name w:val="Body Text"/>
    <w:basedOn w:val="Normal"/>
    <w:link w:val="BodyTextChar"/>
    <w:uiPriority w:val="99"/>
    <w:semiHidden/>
    <w:unhideWhenUsed/>
    <w:rsid w:val="00C35093"/>
    <w:pPr>
      <w:spacing w:after="120"/>
    </w:pPr>
  </w:style>
  <w:style w:type="character" w:customStyle="1" w:styleId="BodyTextChar">
    <w:name w:val="Body Text Char"/>
    <w:basedOn w:val="DefaultParagraphFont"/>
    <w:link w:val="BodyText"/>
    <w:uiPriority w:val="99"/>
    <w:semiHidden/>
    <w:rsid w:val="00C35093"/>
    <w:rPr>
      <w:rFonts w:ascii="Arial" w:eastAsia="Times New Roman" w:hAnsi="Arial" w:cs="Arial"/>
      <w:sz w:val="21"/>
      <w:szCs w:val="21"/>
      <w:lang w:eastAsia="en-AU"/>
    </w:rPr>
  </w:style>
  <w:style w:type="table" w:customStyle="1" w:styleId="DSPGuide-Table">
    <w:name w:val="DSP Guide - Table"/>
    <w:basedOn w:val="TableNormal"/>
    <w:uiPriority w:val="99"/>
    <w:rsid w:val="009204EF"/>
    <w:pPr>
      <w:spacing w:after="0" w:line="240" w:lineRule="auto"/>
    </w:pPr>
    <w:rPr>
      <w:rFonts w:ascii="Arial" w:eastAsia="Times New Roman" w:hAnsi="Arial" w:cs="Times New Roman"/>
      <w:sz w:val="20"/>
      <w:szCs w:val="20"/>
      <w:lang w:eastAsia="en-AU"/>
    </w:rPr>
    <w:tblPr/>
    <w:tcPr>
      <w:shd w:val="clear" w:color="auto" w:fill="FFFFFF" w:themeFill="background1"/>
    </w:tcPr>
    <w:tblStylePr w:type="firstRow">
      <w:rPr>
        <w:color w:val="FFFFFF" w:themeColor="background1"/>
        <w:sz w:val="22"/>
      </w:rPr>
      <w:tblPr/>
      <w:tcPr>
        <w:shd w:val="clear" w:color="auto" w:fill="595959" w:themeFill="text1" w:themeFillTint="A6"/>
      </w:tcPr>
    </w:tblStylePr>
  </w:style>
  <w:style w:type="paragraph" w:customStyle="1" w:styleId="Tableheader">
    <w:name w:val="Table header"/>
    <w:link w:val="TableheaderChar"/>
    <w:qFormat/>
    <w:rsid w:val="009204EF"/>
    <w:pPr>
      <w:shd w:val="clear" w:color="auto" w:fill="595959" w:themeFill="text1" w:themeFillTint="A6"/>
      <w:spacing w:after="0" w:line="240" w:lineRule="auto"/>
      <w:ind w:left="142"/>
    </w:pPr>
    <w:rPr>
      <w:rFonts w:ascii="Arial" w:eastAsia="Times New Roman" w:hAnsi="Arial" w:cs="Arial"/>
      <w:color w:val="FFFFFF"/>
      <w:sz w:val="21"/>
      <w:szCs w:val="21"/>
      <w:lang w:val="en-US" w:eastAsia="en-AU"/>
    </w:rPr>
  </w:style>
  <w:style w:type="paragraph" w:customStyle="1" w:styleId="Tabletext">
    <w:name w:val="Table text"/>
    <w:qFormat/>
    <w:rsid w:val="009204EF"/>
    <w:pPr>
      <w:spacing w:before="40" w:after="40" w:line="240" w:lineRule="auto"/>
      <w:ind w:left="142"/>
    </w:pPr>
    <w:rPr>
      <w:rFonts w:ascii="Arial" w:eastAsia="Times New Roman" w:hAnsi="Arial" w:cs="Arial"/>
      <w:sz w:val="19"/>
      <w:szCs w:val="19"/>
      <w:lang w:val="en-US" w:eastAsia="en-AU"/>
    </w:rPr>
  </w:style>
  <w:style w:type="paragraph" w:customStyle="1" w:styleId="bullet">
    <w:name w:val="bullet"/>
    <w:basedOn w:val="ListBullet"/>
    <w:uiPriority w:val="1"/>
    <w:qFormat/>
    <w:rsid w:val="009204EF"/>
    <w:pPr>
      <w:numPr>
        <w:numId w:val="1"/>
      </w:numPr>
      <w:spacing w:after="120"/>
    </w:pPr>
  </w:style>
  <w:style w:type="character" w:customStyle="1" w:styleId="TableheaderChar">
    <w:name w:val="Table header Char"/>
    <w:basedOn w:val="DefaultParagraphFont"/>
    <w:link w:val="Tableheader"/>
    <w:rsid w:val="009204EF"/>
    <w:rPr>
      <w:rFonts w:ascii="Arial" w:eastAsia="Times New Roman" w:hAnsi="Arial" w:cs="Arial"/>
      <w:color w:val="FFFFFF"/>
      <w:sz w:val="21"/>
      <w:szCs w:val="21"/>
      <w:shd w:val="clear" w:color="auto" w:fill="595959" w:themeFill="text1" w:themeFillTint="A6"/>
      <w:lang w:val="en-US" w:eastAsia="en-AU"/>
    </w:rPr>
  </w:style>
  <w:style w:type="paragraph" w:styleId="ListBullet">
    <w:name w:val="List Bullet"/>
    <w:basedOn w:val="Normal"/>
    <w:uiPriority w:val="99"/>
    <w:semiHidden/>
    <w:unhideWhenUsed/>
    <w:rsid w:val="009204EF"/>
    <w:pPr>
      <w:numPr>
        <w:numId w:val="6"/>
      </w:numPr>
      <w:contextualSpacing/>
    </w:pPr>
  </w:style>
  <w:style w:type="paragraph" w:styleId="Header">
    <w:name w:val="header"/>
    <w:basedOn w:val="Normal"/>
    <w:link w:val="HeaderChar"/>
    <w:uiPriority w:val="1"/>
    <w:rsid w:val="009204EF"/>
    <w:pPr>
      <w:tabs>
        <w:tab w:val="center" w:pos="4153"/>
        <w:tab w:val="right" w:pos="8306"/>
      </w:tabs>
    </w:pPr>
    <w:rPr>
      <w:noProof/>
      <w:color w:val="7F7F7F" w:themeColor="text1" w:themeTint="80"/>
      <w:sz w:val="20"/>
      <w:szCs w:val="20"/>
    </w:rPr>
  </w:style>
  <w:style w:type="character" w:customStyle="1" w:styleId="HeaderChar">
    <w:name w:val="Header Char"/>
    <w:basedOn w:val="DefaultParagraphFont"/>
    <w:link w:val="Header"/>
    <w:uiPriority w:val="1"/>
    <w:rsid w:val="009204EF"/>
    <w:rPr>
      <w:rFonts w:ascii="Arial" w:eastAsia="Times New Roman" w:hAnsi="Arial" w:cs="Arial"/>
      <w:noProof/>
      <w:color w:val="7F7F7F" w:themeColor="text1" w:themeTint="80"/>
      <w:sz w:val="20"/>
      <w:szCs w:val="20"/>
      <w:lang w:eastAsia="en-AU"/>
    </w:rPr>
  </w:style>
  <w:style w:type="paragraph" w:styleId="Footer">
    <w:name w:val="footer"/>
    <w:basedOn w:val="Normal"/>
    <w:link w:val="FooterChar"/>
    <w:uiPriority w:val="99"/>
    <w:unhideWhenUsed/>
    <w:rsid w:val="00EF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F4A"/>
    <w:rPr>
      <w:rFonts w:ascii="Arial" w:eastAsia="Times New Roman" w:hAnsi="Arial" w:cs="Arial"/>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Hamilton</dc:creator>
  <cp:keywords/>
  <dc:description/>
  <cp:lastModifiedBy>Fiona Hamilton</cp:lastModifiedBy>
  <cp:revision>7</cp:revision>
  <dcterms:created xsi:type="dcterms:W3CDTF">2022-12-15T02:05:00Z</dcterms:created>
  <dcterms:modified xsi:type="dcterms:W3CDTF">2022-12-15T03:58:00Z</dcterms:modified>
</cp:coreProperties>
</file>